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t>تقرير إغلاق OTS-W1-001 — Physical Precision</w:t>
      </w:r>
    </w:p>
    <w:p>
      <w:pPr>
        <w:jc w:val="right"/>
        <w:bidi/>
      </w:pPr>
      <w:r>
        <w:rPr>
          <w:b/>
        </w:rPr>
        <w:t>TransportERP — W1 Data Model / Physical Schema Decision</w:t>
      </w:r>
    </w:p>
    <w:p>
      <w:pPr>
        <w:jc w:val="right"/>
        <w:bidi/>
      </w:pPr>
      <w:r>
        <w:rPr>
          <w:b/>
        </w:rPr>
        <w:t>الحالة: CLOSED / APPROVED / READY FOR PHYSICAL SCHEMA CONSUMPTION</w:t>
      </w:r>
    </w:p>
    <w:p>
      <w:pPr>
        <w:pStyle w:val="Heading1"/>
        <w:jc w:val="right"/>
        <w:bidi/>
      </w:pPr>
      <w:r>
        <w:t>1. سبب الإغلاق</w:t>
      </w:r>
    </w:p>
    <w:p>
      <w:pPr>
        <w:jc w:val="right"/>
        <w:bidi/>
      </w:pPr>
      <w:r>
        <w:t>كان W1 يثبت الفصل بين Storage Precision وDisplay Precision لكنه يترك القيم الرقمية النهائية لـ Money وExchangeRate وPercentage كـ OTS-W1-001. لا يجوز بناء DDL أو Migrations بأرقام مرتجلة.</w:t>
      </w:r>
    </w:p>
    <w:p>
      <w:pPr>
        <w:pStyle w:val="Heading1"/>
        <w:jc w:val="right"/>
        <w:bidi/>
      </w:pPr>
      <w:r>
        <w:t>2. القرار الحاكم</w:t>
      </w:r>
    </w:p>
    <w:p>
      <w:pPr>
        <w:jc w:val="right"/>
        <w:bidi/>
      </w:pPr>
      <w:r>
        <w:t>تم اعتماد ثلاث فئات Precision فيزيائية مستقلة على MySQL، مع عدم ربطها مباشرة بعدد المنازل المعروضة في الواجهة.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</w:trPr>
        <w:tc>
          <w:tcPr>
            <w:tcW w:type="dxa" w:w="3475"/>
            <w:shd w:fill="D9EAF7"/>
            <w:vAlign w:val="center"/>
          </w:tcPr>
          <w:p>
            <w:pPr>
              <w:jc w:val="right"/>
              <w:bidi/>
            </w:pPr>
            <w:r>
              <w:t>الفئة</w:t>
            </w:r>
          </w:p>
        </w:tc>
        <w:tc>
          <w:tcPr>
            <w:tcW w:type="dxa" w:w="3475"/>
            <w:shd w:fill="D9EAF7"/>
            <w:vAlign w:val="center"/>
          </w:tcPr>
          <w:p>
            <w:pPr>
              <w:jc w:val="right"/>
              <w:bidi/>
            </w:pPr>
            <w:r>
              <w:t>MySQL</w:t>
            </w:r>
          </w:p>
        </w:tc>
        <w:tc>
          <w:tcPr>
            <w:tcW w:type="dxa" w:w="3475"/>
            <w:shd w:fill="D9EAF7"/>
            <w:vAlign w:val="center"/>
          </w:tcPr>
          <w:p>
            <w:pPr>
              <w:jc w:val="right"/>
              <w:bidi/>
            </w:pPr>
            <w:r>
              <w:t>السياسة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Money / Amount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DECIMAL(22,6)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يستخدم للمبالغ المخزنة: debit/credit/base/foreign/amount/balances.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ExchangeRate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DECIMAL(20,10)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يستخدم لسعر الصرف وMinimumRate وMaximumRate؛ لا تقريب مبكر في Desktop.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Percentage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DECIMAL(12,8)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فئة مستقلة للنسب العامة؛ Tax Percentage يبقى تابعًا لعقد الضريبة OTS-W1-004.</w:t>
            </w:r>
          </w:p>
        </w:tc>
      </w:tr>
    </w:tbl>
    <w:p>
      <w:pPr>
        <w:pStyle w:val="Heading1"/>
        <w:jc w:val="right"/>
        <w:bidi/>
      </w:pPr>
      <w:r>
        <w:t>3. قواعد التقريب والعرض</w:t>
      </w:r>
    </w:p>
    <w:p>
      <w:pPr>
        <w:jc w:val="right"/>
        <w:bidi/>
      </w:pPr>
      <w:r>
        <w:t>• Currency.DecimalPlaces يبقى من 0 إلى 6 ويحدد الإدخال والعرض والتقريب النهائي للمبلغ حسب العملة؛ لا يغير Storage Scale العام.</w:t>
      </w:r>
    </w:p>
    <w:p>
      <w:pPr>
        <w:jc w:val="right"/>
        <w:bidi/>
      </w:pPr>
      <w:r>
        <w:t>• يتم التجميع أولًا ثم التقريب عند Currency/Business Policy boundary؛ يمنع التقريب لكل سطر وسيط بصورة تغير الإجمالي المحاسبي.</w:t>
      </w:r>
    </w:p>
    <w:p>
      <w:pPr>
        <w:jc w:val="right"/>
        <w:bidi/>
      </w:pPr>
      <w:r>
        <w:t>• Desktop لا يملك سلطة حسابية مختلفة عن API/Domain، ولا يحول Precision التخزين إلى Formatting محلي.</w:t>
      </w:r>
    </w:p>
    <w:p>
      <w:pPr>
        <w:jc w:val="right"/>
        <w:bidi/>
      </w:pPr>
      <w:r>
        <w:t>• القيم المحسوبة غير المخزنة تستخدم دقة كافية ولا تقطع إلى Display Precision أثناء الحساب.</w:t>
      </w:r>
    </w:p>
    <w:p>
      <w:pPr>
        <w:pStyle w:val="Heading1"/>
        <w:jc w:val="right"/>
        <w:bidi/>
      </w:pPr>
      <w:r>
        <w:t>4. الأثر على الملفات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</w:trPr>
        <w:tc>
          <w:tcPr>
            <w:tcW w:type="dxa" w:w="3475"/>
            <w:shd w:fill="D9EAF7"/>
            <w:vAlign w:val="center"/>
          </w:tcPr>
          <w:p>
            <w:pPr>
              <w:jc w:val="right"/>
              <w:bidi/>
            </w:pPr>
            <w:r>
              <w:t>الملف</w:t>
            </w:r>
          </w:p>
        </w:tc>
        <w:tc>
          <w:tcPr>
            <w:tcW w:type="dxa" w:w="3475"/>
            <w:shd w:fill="D9EAF7"/>
            <w:vAlign w:val="center"/>
          </w:tcPr>
          <w:p>
            <w:pPr>
              <w:jc w:val="right"/>
              <w:bidi/>
            </w:pPr>
            <w:r>
              <w:t>الإصدار بعد الإغلاق</w:t>
            </w:r>
          </w:p>
        </w:tc>
        <w:tc>
          <w:tcPr>
            <w:tcW w:type="dxa" w:w="3475"/>
            <w:shd w:fill="D9EAF7"/>
            <w:vAlign w:val="center"/>
          </w:tcPr>
          <w:p>
            <w:pPr>
              <w:jc w:val="right"/>
              <w:bidi/>
            </w:pPr>
            <w:r>
              <w:t>الأثر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DB_Constraint_Matrix_TransportERP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V1.1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إحلال قيم Precision الفعلية لكل Money وRate Decimal وإغلاق OTS.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Gap_Closure_Matrix_TransportERP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V1.1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OTS-W1-001 = CLOSED؛ CLOSE NOW ينخفض من 5 إلى 4.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API_Contract_Matrix_TransportERP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V1.2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W1-OTS-001 المحمول داخل W2 أصبح CLOSED.</w:t>
            </w:r>
          </w:p>
        </w:tc>
      </w:tr>
      <w:tr>
        <w:trPr>
          <w:cantSplit/>
        </w:trPr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Screen_to_API_and_Permission_Traceability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V1.2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/>
            </w:pPr>
            <w:r>
              <w:t>تحديث حالة W1-OTS-001 المحمول إلى CLOSED.</w:t>
            </w:r>
          </w:p>
        </w:tc>
      </w:tr>
    </w:tbl>
    <w:p>
      <w:pPr>
        <w:pStyle w:val="Heading1"/>
        <w:jc w:val="right"/>
        <w:bidi/>
      </w:pPr>
      <w:r>
        <w:t>5. ما لم يتغير</w:t>
      </w:r>
    </w:p>
    <w:p>
      <w:pPr>
        <w:jc w:val="right"/>
        <w:bidi/>
      </w:pPr>
      <w:r>
        <w:t>• Screen Profiles وVariants وCapabilities.</w:t>
      </w:r>
    </w:p>
    <w:p>
      <w:pPr>
        <w:jc w:val="right"/>
        <w:bidi/>
      </w:pPr>
      <w:r>
        <w:t>• Logical entity ownership والعلاقات.</w:t>
      </w:r>
    </w:p>
    <w:p>
      <w:pPr>
        <w:jc w:val="right"/>
        <w:bidi/>
      </w:pPr>
      <w:r>
        <w:t>• Currency.DecimalPlaces = 0..6.</w:t>
      </w:r>
    </w:p>
    <w:p>
      <w:pPr>
        <w:jc w:val="right"/>
        <w:bidi/>
      </w:pPr>
      <w:r>
        <w:t>• Tax model — ما زال OTS-W1-004.</w:t>
      </w:r>
    </w:p>
    <w:p>
      <w:pPr>
        <w:jc w:val="right"/>
        <w:bidi/>
      </w:pPr>
      <w:r>
        <w:t>• Quantity precision — ما زالت فجوة مستقلة GAP-W1-009.</w:t>
      </w:r>
    </w:p>
    <w:p>
      <w:pPr>
        <w:pStyle w:val="Heading1"/>
        <w:jc w:val="right"/>
        <w:bidi/>
      </w:pPr>
      <w:r>
        <w:t>6. القرار النهائي</w:t>
      </w:r>
    </w:p>
    <w:p>
      <w:pPr>
        <w:jc w:val="right"/>
        <w:bidi/>
      </w:pPr>
      <w:r>
        <w:rPr>
          <w:b/>
        </w:rPr>
        <w:t>OTS-W1-001 = CLOSED. لم يعد Physical Precision مانعًا لإنشاء Physical Schema بسبب عدم حسم Money/Rate/Percentage. يبقى OTS-W1-002 (UUIDv7 physical representation) هو بند W1 التالي المصنف CLOSE NOW.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