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  <w:spacing w:after="40" w:before="0"/>
        <w:jc w:val="right"/>
      </w:pPr>
      <w:r>
        <w:rPr>
          <w:sz w:val="18"/>
        </w:rPr>
        <w:t>OTS-W1-002 — UUIDv7 Physical PK Closure Report</w:t>
      </w:r>
    </w:p>
    <w:p>
      <w:pPr>
        <w:bidi w:val="1"/>
        <w:spacing w:after="40" w:before="0"/>
        <w:jc w:val="right"/>
      </w:pPr>
      <w:r>
        <w:rPr>
          <w:b/>
          <w:sz w:val="18"/>
        </w:rPr>
        <w:t>TransportERP — W1 Data Model — MySQL Physical Identity Mapping</w:t>
      </w:r>
    </w:p>
    <w:p>
      <w:pPr>
        <w:bidi w:val="1"/>
        <w:spacing w:after="40" w:before="0"/>
        <w:jc w:val="right"/>
      </w:pPr>
      <w:r>
        <w:rPr>
          <w:b/>
          <w:sz w:val="18"/>
        </w:rPr>
        <w:t>الحالة: CLOSED / APPROVED</w:t>
      </w:r>
    </w:p>
    <w:p>
      <w:pPr>
        <w:pStyle w:val="Heading1"/>
        <w:bidi w:val="1"/>
        <w:spacing w:after="40" w:before="0"/>
        <w:jc w:val="right"/>
      </w:pPr>
      <w:r>
        <w:rPr>
          <w:sz w:val="18"/>
        </w:rPr>
        <w:t>1. سبب الفجوة</w:t>
      </w:r>
    </w:p>
    <w:p>
      <w:pPr>
        <w:bidi w:val="1"/>
        <w:spacing w:after="40" w:before="0"/>
        <w:jc w:val="right"/>
      </w:pPr>
      <w:r>
        <w:rPr>
          <w:sz w:val="18"/>
        </w:rPr>
        <w:t>كانت الهوية المنطقية UUIDv7 معتمدة، لكن تمثيلها الفيزيائي في MySQL كان مفتوحًا بين Binary/String، مما يمنع DDL/Migrations من اعتماد نوع PK/FK موحد.</w:t>
      </w:r>
    </w:p>
    <w:p>
      <w:pPr>
        <w:pStyle w:val="Heading1"/>
        <w:bidi w:val="1"/>
        <w:spacing w:after="40" w:before="0"/>
        <w:jc w:val="right"/>
      </w:pPr>
      <w:r>
        <w:rPr>
          <w:sz w:val="18"/>
        </w:rPr>
        <w:t>2. القرار المعتمد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</w:tcPr>
          <w:p>
            <w:pPr>
              <w:bidi w:val="1"/>
              <w:jc w:val="right"/>
            </w:pPr>
            <w:r>
              <w:rPr>
                <w:b/>
                <w:sz w:val="17"/>
              </w:rPr>
              <w:t>البند</w:t>
            </w:r>
          </w:p>
        </w:tc>
        <w:tc>
          <w:tcPr>
            <w:tcW w:type="dxa" w:w="5256"/>
            <w:vAlign w:val="center"/>
          </w:tcPr>
          <w:p>
            <w:pPr>
              <w:bidi w:val="1"/>
              <w:jc w:val="right"/>
            </w:pPr>
            <w:r>
              <w:rPr>
                <w:b/>
                <w:sz w:val="17"/>
              </w:rPr>
              <w:t>القرار</w:t>
            </w:r>
          </w:p>
        </w:tc>
      </w:tr>
      <w:tr>
        <w:trPr>
          <w:cantSplit/>
        </w:trPr>
        <w:tc>
          <w:tcPr>
            <w:tcW w:type="dxa" w:w="5256"/>
            <w:vAlign w:val="center"/>
          </w:tcPr>
          <w:p>
            <w:pPr>
              <w:bidi w:val="1"/>
              <w:jc w:val="right"/>
            </w:pPr>
            <w:r>
              <w:rPr>
                <w:sz w:val="17"/>
              </w:rPr>
              <w:t>Storage</w:t>
            </w:r>
          </w:p>
        </w:tc>
        <w:tc>
          <w:tcPr>
            <w:tcW w:type="dxa" w:w="5256"/>
            <w:vAlign w:val="center"/>
          </w:tcPr>
          <w:p>
            <w:pPr>
              <w:bidi w:val="1"/>
              <w:jc w:val="right"/>
            </w:pPr>
            <w:r>
              <w:rPr>
                <w:sz w:val="17"/>
              </w:rPr>
              <w:t>BINARY(16) لكل UUIDv7 PK/FK داخلي</w:t>
            </w:r>
          </w:p>
        </w:tc>
      </w:tr>
      <w:tr>
        <w:trPr>
          <w:cantSplit/>
        </w:trPr>
        <w:tc>
          <w:tcPr>
            <w:tcW w:type="dxa" w:w="5256"/>
            <w:vAlign w:val="center"/>
          </w:tcPr>
          <w:p>
            <w:pPr>
              <w:bidi w:val="1"/>
              <w:jc w:val="right"/>
            </w:pPr>
            <w:r>
              <w:rPr>
                <w:sz w:val="17"/>
              </w:rPr>
              <w:t>Byte Order</w:t>
            </w:r>
          </w:p>
        </w:tc>
        <w:tc>
          <w:tcPr>
            <w:tcW w:type="dxa" w:w="5256"/>
            <w:vAlign w:val="center"/>
          </w:tcPr>
          <w:p>
            <w:pPr>
              <w:bidi w:val="1"/>
              <w:jc w:val="right"/>
            </w:pPr>
            <w:r>
              <w:rPr>
                <w:sz w:val="17"/>
              </w:rPr>
              <w:t>Network byte order / big-endian وفق RFC 9562</w:t>
            </w:r>
          </w:p>
        </w:tc>
      </w:tr>
      <w:tr>
        <w:trPr>
          <w:cantSplit/>
        </w:trPr>
        <w:tc>
          <w:tcPr>
            <w:tcW w:type="dxa" w:w="5256"/>
            <w:vAlign w:val="center"/>
          </w:tcPr>
          <w:p>
            <w:pPr>
              <w:bidi w:val="1"/>
              <w:jc w:val="right"/>
            </w:pPr>
            <w:r>
              <w:rPr>
                <w:sz w:val="17"/>
              </w:rPr>
              <w:t>Swapping</w:t>
            </w:r>
          </w:p>
        </w:tc>
        <w:tc>
          <w:tcPr>
            <w:tcW w:type="dxa" w:w="5256"/>
            <w:vAlign w:val="center"/>
          </w:tcPr>
          <w:p>
            <w:pPr>
              <w:bidi w:val="1"/>
              <w:jc w:val="right"/>
            </w:pPr>
            <w:r>
              <w:rPr>
                <w:sz w:val="17"/>
              </w:rPr>
              <w:t>ممنوع UUIDv1 time-part swap؛ إن استُخدمت UUID_TO_BIN فـ swap_flag=0</w:t>
            </w:r>
          </w:p>
        </w:tc>
      </w:tr>
      <w:tr>
        <w:trPr>
          <w:cantSplit/>
        </w:trPr>
        <w:tc>
          <w:tcPr>
            <w:tcW w:type="dxa" w:w="5256"/>
            <w:vAlign w:val="center"/>
          </w:tcPr>
          <w:p>
            <w:pPr>
              <w:bidi w:val="1"/>
              <w:jc w:val="right"/>
            </w:pPr>
            <w:r>
              <w:rPr>
                <w:sz w:val="17"/>
              </w:rPr>
              <w:t>API Boundary</w:t>
            </w:r>
          </w:p>
        </w:tc>
        <w:tc>
          <w:tcPr>
            <w:tcW w:type="dxa" w:w="5256"/>
            <w:vAlign w:val="center"/>
          </w:tcPr>
          <w:p>
            <w:pPr>
              <w:bidi w:val="1"/>
              <w:jc w:val="right"/>
            </w:pPr>
            <w:r>
              <w:rPr>
                <w:sz w:val="17"/>
              </w:rPr>
              <w:t>Canonical UUID string؛ التخزين الفيزيائي لا يتسرب إلى Contracts</w:t>
            </w:r>
          </w:p>
        </w:tc>
      </w:tr>
      <w:tr>
        <w:trPr>
          <w:cantSplit/>
        </w:trPr>
        <w:tc>
          <w:tcPr>
            <w:tcW w:type="dxa" w:w="5256"/>
            <w:vAlign w:val="center"/>
          </w:tcPr>
          <w:p>
            <w:pPr>
              <w:bidi w:val="1"/>
              <w:jc w:val="right"/>
            </w:pPr>
            <w:r>
              <w:rPr>
                <w:sz w:val="17"/>
              </w:rPr>
              <w:t>Indexes</w:t>
            </w:r>
          </w:p>
        </w:tc>
        <w:tc>
          <w:tcPr>
            <w:tcW w:type="dxa" w:w="5256"/>
            <w:vAlign w:val="center"/>
          </w:tcPr>
          <w:p>
            <w:pPr>
              <w:bidi w:val="1"/>
              <w:jc w:val="right"/>
            </w:pPr>
            <w:r>
              <w:rPr>
                <w:sz w:val="17"/>
              </w:rPr>
              <w:t>Raw 16-byte PK/Unique/FK indexes؛ يحافظ UUIDv7 على sorting locality</w:t>
            </w:r>
          </w:p>
        </w:tc>
      </w:tr>
    </w:tbl>
    <w:p>
      <w:pPr>
        <w:pStyle w:val="Heading1"/>
        <w:bidi w:val="1"/>
        <w:spacing w:after="40" w:before="0"/>
        <w:jc w:val="right"/>
      </w:pPr>
      <w:r>
        <w:rPr>
          <w:sz w:val="18"/>
        </w:rPr>
        <w:t>3. قواعد التنفيذ</w:t>
      </w:r>
    </w:p>
    <w:p>
      <w:pPr>
        <w:pStyle w:val="ListBullet"/>
        <w:bidi w:val="1"/>
        <w:spacing w:after="40" w:before="0"/>
        <w:jc w:val="right"/>
      </w:pPr>
      <w:r>
        <w:rPr>
          <w:sz w:val="18"/>
        </w:rPr>
        <w:t>المولد ينشئ UUIDv7 قبل persistence ولا تعيد قاعدة البيانات تفسير أو ترتيب البايتات.</w:t>
      </w:r>
    </w:p>
    <w:p>
      <w:pPr>
        <w:pStyle w:val="ListBullet"/>
        <w:bidi w:val="1"/>
        <w:spacing w:after="40" w:before="0"/>
        <w:jc w:val="right"/>
      </w:pPr>
      <w:r>
        <w:rPr>
          <w:sz w:val="18"/>
        </w:rPr>
        <w:t>كل PK/FK منطقي من نوع UUIDv7 يستخدم نفس BINARY(16)؛ لا CHAR(36) داخل الجداول التشغيلية الجديدة.</w:t>
      </w:r>
    </w:p>
    <w:p>
      <w:pPr>
        <w:pStyle w:val="ListBullet"/>
        <w:bidi w:val="1"/>
        <w:spacing w:after="40" w:before="0"/>
        <w:jc w:val="right"/>
      </w:pPr>
      <w:r>
        <w:rPr>
          <w:sz w:val="18"/>
        </w:rPr>
        <w:t>التحويل النصي مسموح فقط عند حدود API/Logs/Diagnostics أو أدوات الإدارة.</w:t>
      </w:r>
    </w:p>
    <w:p>
      <w:pPr>
        <w:pStyle w:val="ListBullet"/>
        <w:bidi w:val="1"/>
        <w:spacing w:after="40" w:before="0"/>
        <w:jc w:val="right"/>
      </w:pPr>
      <w:r>
        <w:rPr>
          <w:sz w:val="18"/>
        </w:rPr>
        <w:t>لا يستخدم swap_flag=1 مع UUIDv7.</w:t>
      </w:r>
    </w:p>
    <w:p>
      <w:pPr>
        <w:pStyle w:val="ListBullet"/>
        <w:bidi w:val="1"/>
        <w:spacing w:after="40" w:before="0"/>
        <w:jc w:val="right"/>
      </w:pPr>
      <w:r>
        <w:rPr>
          <w:sz w:val="18"/>
        </w:rPr>
        <w:t>أي migration يخالف هذه القاعدة يحتاج Change Request صريح.</w:t>
      </w:r>
    </w:p>
    <w:p>
      <w:pPr>
        <w:pStyle w:val="Heading1"/>
        <w:bidi w:val="1"/>
        <w:spacing w:after="40" w:before="0"/>
        <w:jc w:val="right"/>
      </w:pPr>
      <w:r>
        <w:rPr>
          <w:sz w:val="18"/>
        </w:rPr>
        <w:t>4. أثر القرار</w:t>
      </w:r>
    </w:p>
    <w:p>
      <w:pPr>
        <w:bidi w:val="1"/>
        <w:spacing w:after="40" w:before="0"/>
        <w:jc w:val="right"/>
      </w:pPr>
      <w:r>
        <w:rPr>
          <w:sz w:val="18"/>
        </w:rPr>
        <w:t>لا تغيير على Entities أو Aggregates أو Screen Profiles أو API semantics. التغيير يحسم فقط طبقة persistence/DDL، ويزيل مانع OTS-W1-002.</w:t>
      </w:r>
    </w:p>
    <w:p>
      <w:pPr>
        <w:pStyle w:val="Heading1"/>
        <w:bidi w:val="1"/>
        <w:spacing w:after="40" w:before="0"/>
        <w:jc w:val="right"/>
      </w:pPr>
      <w:r>
        <w:rPr>
          <w:sz w:val="18"/>
        </w:rPr>
        <w:t>5. الأدلة</w:t>
      </w:r>
    </w:p>
    <w:p>
      <w:pPr>
        <w:pStyle w:val="ListBullet"/>
        <w:bidi w:val="1"/>
        <w:spacing w:after="40" w:before="0"/>
        <w:jc w:val="right"/>
      </w:pPr>
      <w:r>
        <w:rPr>
          <w:sz w:val="18"/>
        </w:rPr>
        <w:t>RFC 9562: UUID = 16 octets، network byte order، UUIDv7 timestamp في البتات الأعلى، وUUIDv7 قابل للفرز كـraw bytes.</w:t>
      </w:r>
    </w:p>
    <w:p>
      <w:pPr>
        <w:pStyle w:val="ListBullet"/>
        <w:bidi w:val="1"/>
        <w:spacing w:after="40" w:before="0"/>
        <w:jc w:val="right"/>
      </w:pPr>
      <w:r>
        <w:rPr>
          <w:sz w:val="18"/>
        </w:rPr>
        <w:t>MySQL Reference Manual: UUID_TO_BIN(...,0) يحافظ على ترتيب البايتات؛ swap_flag=1 يفيد UUIDv1 time-part swapping ولا يفيد UUIDs غير v1.</w:t>
      </w:r>
    </w:p>
    <w:p>
      <w:pPr>
        <w:pStyle w:val="Heading1"/>
        <w:bidi w:val="1"/>
        <w:spacing w:after="40" w:before="0"/>
        <w:jc w:val="right"/>
      </w:pPr>
      <w:r>
        <w:rPr>
          <w:sz w:val="18"/>
        </w:rPr>
        <w:t>6. الملفات المتأثرة</w:t>
      </w:r>
    </w:p>
    <w:p>
      <w:pPr>
        <w:pStyle w:val="ListBullet"/>
        <w:bidi w:val="1"/>
        <w:spacing w:after="40" w:before="0"/>
        <w:jc w:val="right"/>
      </w:pPr>
      <w:r>
        <w:rPr>
          <w:sz w:val="18"/>
        </w:rPr>
        <w:t>Logical_Data_Model_TransportERP_V1.1.docx</w:t>
      </w:r>
    </w:p>
    <w:p>
      <w:pPr>
        <w:pStyle w:val="ListBullet"/>
        <w:bidi w:val="1"/>
        <w:spacing w:after="40" w:before="0"/>
        <w:jc w:val="right"/>
      </w:pPr>
      <w:r>
        <w:rPr>
          <w:sz w:val="18"/>
        </w:rPr>
        <w:t>DB_Constraint_Matrix_TransportERP_V1.2.xlsx</w:t>
      </w:r>
    </w:p>
    <w:p>
      <w:pPr>
        <w:pStyle w:val="ListBullet"/>
        <w:bidi w:val="1"/>
        <w:spacing w:after="40" w:before="0"/>
        <w:jc w:val="right"/>
      </w:pPr>
      <w:r>
        <w:rPr>
          <w:sz w:val="18"/>
        </w:rPr>
        <w:t>API_Contract_Matrix_TransportERP_V1.3.xlsx</w:t>
      </w:r>
    </w:p>
    <w:p>
      <w:pPr>
        <w:pStyle w:val="ListBullet"/>
        <w:bidi w:val="1"/>
        <w:spacing w:after="40" w:before="0"/>
        <w:jc w:val="right"/>
      </w:pPr>
      <w:r>
        <w:rPr>
          <w:sz w:val="18"/>
        </w:rPr>
        <w:t>Screen_to_API_and_Permission_Traceability_TransportERP_V1.3.xlsx</w:t>
      </w:r>
    </w:p>
    <w:p>
      <w:pPr>
        <w:pStyle w:val="ListBullet"/>
        <w:bidi w:val="1"/>
        <w:spacing w:after="40" w:before="0"/>
        <w:jc w:val="right"/>
      </w:pPr>
      <w:r>
        <w:rPr>
          <w:sz w:val="18"/>
        </w:rPr>
        <w:t>Gap_Closure_Matrix_TransportERP_V1.2.xlsx</w:t>
      </w:r>
    </w:p>
    <w:p>
      <w:pPr>
        <w:bidi w:val="1"/>
        <w:spacing w:after="40" w:before="0"/>
        <w:jc w:val="right"/>
      </w:pPr>
      <w:r>
        <w:rPr>
          <w:sz w:val="18"/>
        </w:rPr>
        <w:t>OTS-W1-002 = CLOSED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