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before="1300"/>
        <w:jc w:val="center"/>
        <w:bidi w:val="1"/>
      </w:pPr>
      <w:r>
        <w:rPr>
          <w:rFonts w:ascii="Arial" w:hAnsi="Arial"/>
          <w:b/>
          <w:color w:val="1F4E78"/>
          <w:sz w:val="48"/>
        </w:rPr>
        <w:t>كراسة شاشات المحاسبة</w:t>
      </w:r>
    </w:p>
    <w:p>
      <w:pPr>
        <w:spacing w:after="100" w:line="276" w:lineRule="auto"/>
        <w:jc w:val="center"/>
        <w:bidi w:val="1"/>
      </w:pPr>
      <w:r>
        <w:rPr>
          <w:rFonts w:ascii="Arial" w:hAnsi="Arial"/>
          <w:color w:val="486581"/>
          <w:sz w:val="24"/>
        </w:rPr>
        <w:t>بطاقات مكتملة للمجموعة الرابعة — قابلة للدمج في الكراسة الموحدة</w:t>
      </w:r>
    </w:p>
    <w:p>
      <w:pPr>
        <w:spacing w:after="100" w:line="276" w:lineRule="auto" w:before="360"/>
        <w:jc w:val="center"/>
        <w:bidi w:val="1"/>
      </w:pPr>
      <w:r>
        <w:rPr>
          <w:rFonts w:ascii="Arial" w:hAnsi="Arial"/>
          <w:color w:val="6B778C"/>
          <w:sz w:val="20"/>
        </w:rPr>
        <w:t>TransportERP | الإصدار 1.11 | المجموعة الرابعة — المحاسبة</w:t>
      </w:r>
    </w:p>
    <w:p>
      <w:r>
        <w:br w:type="page"/>
      </w:r>
    </w:p>
    <w:p>
      <w:pPr>
        <w:pStyle w:val="Heading1"/>
        <w:spacing w:after="100" w:line="276" w:lineRule="auto"/>
        <w:jc w:val="right"/>
        <w:bidi w:val="1"/>
      </w:pPr>
      <w:r>
        <w:rPr>
          <w:rFonts w:ascii="Arial" w:hAnsi="Arial"/>
        </w:rPr>
        <w:t>حدود الحزمة واعتمادها</w:t>
      </w:r>
    </w:p>
    <w:p>
      <w:pPr>
        <w:spacing w:after="100" w:line="276" w:lineRule="auto"/>
        <w:jc w:val="right"/>
        <w:bidi w:val="1"/>
      </w:pPr>
      <w:r>
        <w:rPr>
          <w:rFonts w:ascii="Arial" w:hAnsi="Arial"/>
        </w:rPr>
        <w:t>تشمل هذه الحزمة 44 شاشة: 9 شاشات تهيئة، 11 شاشة قيود ومعاملات، 12 تقريراً واستعلاماً، و12 شاشة للرقابة والتسويات والاعتمادات. لا تمثل هذه الحزمة بدء تنفيذ برمجي.</w:t>
      </w:r>
    </w:p>
    <w:p>
      <w:pPr>
        <w:spacing w:after="100" w:line="276" w:lineRule="auto"/>
        <w:jc w:val="right"/>
        <w:bidi w:val="1"/>
      </w:pPr>
      <w:r>
        <w:rPr>
          <w:rFonts w:ascii="Arial" w:hAnsi="Arial"/>
        </w:rPr>
        <w:t>قواعد ملزمة: السياق العام في C001 فقط؛ شريط الأدوات C003 يبدأ من اليمين؛ لا يوجد زر إغلاق في شريط الأدوات؛ الحقول الإلزامية بلون أصفر خفيف؛ البحث والتصفية C007 فوق قائمة النتائج C008؛ بيانات التدقيق C011 في الأسفل؛ الرقم الرسمي يولده الخادم عند أول حفظ ناجح فقط.</w:t>
      </w:r>
    </w:p>
    <w:p>
      <w:pPr>
        <w:pStyle w:val="Heading1"/>
        <w:spacing w:after="100" w:line="276" w:lineRule="auto"/>
        <w:jc w:val="right"/>
        <w:bidi w:val="1"/>
      </w:pPr>
      <w:r>
        <w:rPr>
          <w:rFonts w:ascii="Arial" w:hAnsi="Arial"/>
        </w:rPr>
        <w:t>فهرس الشاشات</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2592"/>
        <w:gridCol w:w="2592"/>
        <w:gridCol w:w="2592"/>
        <w:gridCol w:w="2592"/>
      </w:tblGrid>
      <w:tr>
        <w:tc>
          <w:tcPr>
            <w:tcW w:type="dxa" w:w="1440"/>
            <w:shd w:fill="EAF2F8"/>
            <w:vAlign w:val="center"/>
          </w:tcPr>
          <w:p>
            <w:pPr>
              <w:spacing w:after="100" w:line="276" w:lineRule="auto"/>
              <w:jc w:val="right"/>
              <w:bidi w:val="1"/>
            </w:pPr>
            <w:r>
              <w:rPr>
                <w:rFonts w:ascii="Arial" w:hAnsi="Arial"/>
                <w:b/>
                <w:color w:val="172B4D"/>
                <w:sz w:val="18"/>
              </w:rPr>
              <w:t>الرمز</w:t>
            </w:r>
          </w:p>
        </w:tc>
        <w:tc>
          <w:tcPr>
            <w:tcW w:type="dxa" w:w="3888"/>
            <w:shd w:fill="EAF2F8"/>
            <w:vAlign w:val="center"/>
          </w:tcPr>
          <w:p>
            <w:pPr>
              <w:spacing w:after="100" w:line="276" w:lineRule="auto"/>
              <w:jc w:val="right"/>
              <w:bidi w:val="1"/>
            </w:pPr>
            <w:r>
              <w:rPr>
                <w:rFonts w:ascii="Arial" w:hAnsi="Arial"/>
                <w:b/>
                <w:color w:val="172B4D"/>
                <w:sz w:val="18"/>
              </w:rPr>
              <w:t>الشاشة</w:t>
            </w:r>
          </w:p>
        </w:tc>
        <w:tc>
          <w:tcPr>
            <w:tcW w:type="dxa" w:w="1008"/>
            <w:shd w:fill="EAF2F8"/>
            <w:vAlign w:val="center"/>
          </w:tcPr>
          <w:p>
            <w:pPr>
              <w:spacing w:after="100" w:line="276" w:lineRule="auto"/>
              <w:jc w:val="right"/>
              <w:bidi w:val="1"/>
            </w:pPr>
            <w:r>
              <w:rPr>
                <w:rFonts w:ascii="Arial" w:hAnsi="Arial"/>
                <w:b/>
                <w:color w:val="172B4D"/>
                <w:sz w:val="18"/>
              </w:rPr>
              <w:t>النمط</w:t>
            </w:r>
          </w:p>
        </w:tc>
        <w:tc>
          <w:tcPr>
            <w:tcW w:type="dxa" w:w="1584"/>
            <w:shd w:fill="EAF2F8"/>
            <w:vAlign w:val="center"/>
          </w:tcPr>
          <w:p>
            <w:pPr>
              <w:spacing w:after="100" w:line="276" w:lineRule="auto"/>
              <w:jc w:val="right"/>
              <w:bidi w:val="1"/>
            </w:pPr>
            <w:r>
              <w:rPr>
                <w:rFonts w:ascii="Arial" w:hAnsi="Arial"/>
                <w:b/>
                <w:color w:val="172B4D"/>
                <w:sz w:val="18"/>
              </w:rPr>
              <w:t>التصنيف</w:t>
            </w:r>
          </w:p>
        </w:tc>
      </w:tr>
      <w:tr>
        <w:tc>
          <w:tcPr>
            <w:tcW w:type="dxa" w:w="1440"/>
            <w:vAlign w:val="center"/>
          </w:tcPr>
          <w:p>
            <w:pPr>
              <w:spacing w:after="100" w:line="276" w:lineRule="auto"/>
              <w:jc w:val="right"/>
              <w:bidi w:val="1"/>
            </w:pPr>
            <w:r>
              <w:rPr>
                <w:rFonts w:ascii="Arial" w:hAnsi="Arial"/>
                <w:b w:val="0"/>
                <w:color w:val="172B4D"/>
                <w:sz w:val="18"/>
              </w:rPr>
              <w:t>ACC-001</w:t>
            </w:r>
          </w:p>
        </w:tc>
        <w:tc>
          <w:tcPr>
            <w:tcW w:type="dxa" w:w="3888"/>
            <w:vAlign w:val="center"/>
          </w:tcPr>
          <w:p>
            <w:pPr>
              <w:spacing w:after="100" w:line="276" w:lineRule="auto"/>
              <w:jc w:val="right"/>
              <w:bidi w:val="1"/>
            </w:pPr>
            <w:r>
              <w:rPr>
                <w:rFonts w:ascii="Arial" w:hAnsi="Arial"/>
                <w:b w:val="0"/>
                <w:color w:val="172B4D"/>
                <w:sz w:val="18"/>
              </w:rPr>
              <w:t>دليل الحسابات</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ACC-002</w:t>
            </w:r>
          </w:p>
        </w:tc>
        <w:tc>
          <w:tcPr>
            <w:tcW w:type="dxa" w:w="3888"/>
            <w:vAlign w:val="center"/>
          </w:tcPr>
          <w:p>
            <w:pPr>
              <w:spacing w:after="100" w:line="276" w:lineRule="auto"/>
              <w:jc w:val="right"/>
              <w:bidi w:val="1"/>
            </w:pPr>
            <w:r>
              <w:rPr>
                <w:rFonts w:ascii="Arial" w:hAnsi="Arial"/>
                <w:b w:val="0"/>
                <w:color w:val="172B4D"/>
                <w:sz w:val="18"/>
              </w:rPr>
              <w:t>أنواع الحسابات</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ACC-003</w:t>
            </w:r>
          </w:p>
        </w:tc>
        <w:tc>
          <w:tcPr>
            <w:tcW w:type="dxa" w:w="3888"/>
            <w:vAlign w:val="center"/>
          </w:tcPr>
          <w:p>
            <w:pPr>
              <w:spacing w:after="100" w:line="276" w:lineRule="auto"/>
              <w:jc w:val="right"/>
              <w:bidi w:val="1"/>
            </w:pPr>
            <w:r>
              <w:rPr>
                <w:rFonts w:ascii="Arial" w:hAnsi="Arial"/>
                <w:b w:val="0"/>
                <w:color w:val="172B4D"/>
                <w:sz w:val="18"/>
              </w:rPr>
              <w:t>مجموعات الحسابات</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ACC-004</w:t>
            </w:r>
          </w:p>
        </w:tc>
        <w:tc>
          <w:tcPr>
            <w:tcW w:type="dxa" w:w="3888"/>
            <w:vAlign w:val="center"/>
          </w:tcPr>
          <w:p>
            <w:pPr>
              <w:spacing w:after="100" w:line="276" w:lineRule="auto"/>
              <w:jc w:val="right"/>
              <w:bidi w:val="1"/>
            </w:pPr>
            <w:r>
              <w:rPr>
                <w:rFonts w:ascii="Arial" w:hAnsi="Arial"/>
                <w:b w:val="0"/>
                <w:color w:val="172B4D"/>
                <w:sz w:val="18"/>
              </w:rPr>
              <w:t>مراكز التكلفة</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ACC-005</w:t>
            </w:r>
          </w:p>
        </w:tc>
        <w:tc>
          <w:tcPr>
            <w:tcW w:type="dxa" w:w="3888"/>
            <w:vAlign w:val="center"/>
          </w:tcPr>
          <w:p>
            <w:pPr>
              <w:spacing w:after="100" w:line="276" w:lineRule="auto"/>
              <w:jc w:val="right"/>
              <w:bidi w:val="1"/>
            </w:pPr>
            <w:r>
              <w:rPr>
                <w:rFonts w:ascii="Arial" w:hAnsi="Arial"/>
                <w:b w:val="0"/>
                <w:color w:val="172B4D"/>
                <w:sz w:val="18"/>
              </w:rPr>
              <w:t>الصناديق</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ACC-006</w:t>
            </w:r>
          </w:p>
        </w:tc>
        <w:tc>
          <w:tcPr>
            <w:tcW w:type="dxa" w:w="3888"/>
            <w:vAlign w:val="center"/>
          </w:tcPr>
          <w:p>
            <w:pPr>
              <w:spacing w:after="100" w:line="276" w:lineRule="auto"/>
              <w:jc w:val="right"/>
              <w:bidi w:val="1"/>
            </w:pPr>
            <w:r>
              <w:rPr>
                <w:rFonts w:ascii="Arial" w:hAnsi="Arial"/>
                <w:b w:val="0"/>
                <w:color w:val="172B4D"/>
                <w:sz w:val="18"/>
              </w:rPr>
              <w:t>الحسابات البنكية</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ACC-007</w:t>
            </w:r>
          </w:p>
        </w:tc>
        <w:tc>
          <w:tcPr>
            <w:tcW w:type="dxa" w:w="3888"/>
            <w:vAlign w:val="center"/>
          </w:tcPr>
          <w:p>
            <w:pPr>
              <w:spacing w:after="100" w:line="276" w:lineRule="auto"/>
              <w:jc w:val="right"/>
              <w:bidi w:val="1"/>
            </w:pPr>
            <w:r>
              <w:rPr>
                <w:rFonts w:ascii="Arial" w:hAnsi="Arial"/>
                <w:b w:val="0"/>
                <w:color w:val="172B4D"/>
                <w:sz w:val="18"/>
              </w:rPr>
              <w:t>طرق الدفع</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ACC-008</w:t>
            </w:r>
          </w:p>
        </w:tc>
        <w:tc>
          <w:tcPr>
            <w:tcW w:type="dxa" w:w="3888"/>
            <w:vAlign w:val="center"/>
          </w:tcPr>
          <w:p>
            <w:pPr>
              <w:spacing w:after="100" w:line="276" w:lineRule="auto"/>
              <w:jc w:val="right"/>
              <w:bidi w:val="1"/>
            </w:pPr>
            <w:r>
              <w:rPr>
                <w:rFonts w:ascii="Arial" w:hAnsi="Arial"/>
                <w:b w:val="0"/>
                <w:color w:val="172B4D"/>
                <w:sz w:val="18"/>
              </w:rPr>
              <w:t>السنوات المالية</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ACC-009</w:t>
            </w:r>
          </w:p>
        </w:tc>
        <w:tc>
          <w:tcPr>
            <w:tcW w:type="dxa" w:w="3888"/>
            <w:vAlign w:val="center"/>
          </w:tcPr>
          <w:p>
            <w:pPr>
              <w:spacing w:after="100" w:line="276" w:lineRule="auto"/>
              <w:jc w:val="right"/>
              <w:bidi w:val="1"/>
            </w:pPr>
            <w:r>
              <w:rPr>
                <w:rFonts w:ascii="Arial" w:hAnsi="Arial"/>
                <w:b w:val="0"/>
                <w:color w:val="172B4D"/>
                <w:sz w:val="18"/>
              </w:rPr>
              <w:t>الفترات المالية</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تهيئة</w:t>
            </w:r>
          </w:p>
        </w:tc>
      </w:tr>
      <w:tr>
        <w:tc>
          <w:tcPr>
            <w:tcW w:type="dxa" w:w="1440"/>
            <w:vAlign w:val="center"/>
          </w:tcPr>
          <w:p>
            <w:pPr>
              <w:spacing w:after="100" w:line="276" w:lineRule="auto"/>
              <w:jc w:val="right"/>
              <w:bidi w:val="1"/>
            </w:pPr>
            <w:r>
              <w:rPr>
                <w:rFonts w:ascii="Arial" w:hAnsi="Arial"/>
                <w:b w:val="0"/>
                <w:color w:val="172B4D"/>
                <w:sz w:val="18"/>
              </w:rPr>
              <w:t>ACC-010</w:t>
            </w:r>
          </w:p>
        </w:tc>
        <w:tc>
          <w:tcPr>
            <w:tcW w:type="dxa" w:w="3888"/>
            <w:vAlign w:val="center"/>
          </w:tcPr>
          <w:p>
            <w:pPr>
              <w:spacing w:after="100" w:line="276" w:lineRule="auto"/>
              <w:jc w:val="right"/>
              <w:bidi w:val="1"/>
            </w:pPr>
            <w:r>
              <w:rPr>
                <w:rFonts w:ascii="Arial" w:hAnsi="Arial"/>
                <w:b w:val="0"/>
                <w:color w:val="172B4D"/>
                <w:sz w:val="18"/>
              </w:rPr>
              <w:t>القيود اليومية</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ACC-011</w:t>
            </w:r>
          </w:p>
        </w:tc>
        <w:tc>
          <w:tcPr>
            <w:tcW w:type="dxa" w:w="3888"/>
            <w:vAlign w:val="center"/>
          </w:tcPr>
          <w:p>
            <w:pPr>
              <w:spacing w:after="100" w:line="276" w:lineRule="auto"/>
              <w:jc w:val="right"/>
              <w:bidi w:val="1"/>
            </w:pPr>
            <w:r>
              <w:rPr>
                <w:rFonts w:ascii="Arial" w:hAnsi="Arial"/>
                <w:b w:val="0"/>
                <w:color w:val="172B4D"/>
                <w:sz w:val="18"/>
              </w:rPr>
              <w:t>سندات القبض</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ACC-012</w:t>
            </w:r>
          </w:p>
        </w:tc>
        <w:tc>
          <w:tcPr>
            <w:tcW w:type="dxa" w:w="3888"/>
            <w:vAlign w:val="center"/>
          </w:tcPr>
          <w:p>
            <w:pPr>
              <w:spacing w:after="100" w:line="276" w:lineRule="auto"/>
              <w:jc w:val="right"/>
              <w:bidi w:val="1"/>
            </w:pPr>
            <w:r>
              <w:rPr>
                <w:rFonts w:ascii="Arial" w:hAnsi="Arial"/>
                <w:b w:val="0"/>
                <w:color w:val="172B4D"/>
                <w:sz w:val="18"/>
              </w:rPr>
              <w:t>سندات الصرف</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ACC-013</w:t>
            </w:r>
          </w:p>
        </w:tc>
        <w:tc>
          <w:tcPr>
            <w:tcW w:type="dxa" w:w="3888"/>
            <w:vAlign w:val="center"/>
          </w:tcPr>
          <w:p>
            <w:pPr>
              <w:spacing w:after="100" w:line="276" w:lineRule="auto"/>
              <w:jc w:val="right"/>
              <w:bidi w:val="1"/>
            </w:pPr>
            <w:r>
              <w:rPr>
                <w:rFonts w:ascii="Arial" w:hAnsi="Arial"/>
                <w:b w:val="0"/>
                <w:color w:val="172B4D"/>
                <w:sz w:val="18"/>
              </w:rPr>
              <w:t>سندات التحويل النقدي</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ACC-014</w:t>
            </w:r>
          </w:p>
        </w:tc>
        <w:tc>
          <w:tcPr>
            <w:tcW w:type="dxa" w:w="3888"/>
            <w:vAlign w:val="center"/>
          </w:tcPr>
          <w:p>
            <w:pPr>
              <w:spacing w:after="100" w:line="276" w:lineRule="auto"/>
              <w:jc w:val="right"/>
              <w:bidi w:val="1"/>
            </w:pPr>
            <w:r>
              <w:rPr>
                <w:rFonts w:ascii="Arial" w:hAnsi="Arial"/>
                <w:b w:val="0"/>
                <w:color w:val="172B4D"/>
                <w:sz w:val="18"/>
              </w:rPr>
              <w:t>سندات التحويل البنكي</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ACC-015</w:t>
            </w:r>
          </w:p>
        </w:tc>
        <w:tc>
          <w:tcPr>
            <w:tcW w:type="dxa" w:w="3888"/>
            <w:vAlign w:val="center"/>
          </w:tcPr>
          <w:p>
            <w:pPr>
              <w:spacing w:after="100" w:line="276" w:lineRule="auto"/>
              <w:jc w:val="right"/>
              <w:bidi w:val="1"/>
            </w:pPr>
            <w:r>
              <w:rPr>
                <w:rFonts w:ascii="Arial" w:hAnsi="Arial"/>
                <w:b w:val="0"/>
                <w:color w:val="172B4D"/>
                <w:sz w:val="18"/>
              </w:rPr>
              <w:t>القيود المتكررة</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ACC-016</w:t>
            </w:r>
          </w:p>
        </w:tc>
        <w:tc>
          <w:tcPr>
            <w:tcW w:type="dxa" w:w="3888"/>
            <w:vAlign w:val="center"/>
          </w:tcPr>
          <w:p>
            <w:pPr>
              <w:spacing w:after="100" w:line="276" w:lineRule="auto"/>
              <w:jc w:val="right"/>
              <w:bidi w:val="1"/>
            </w:pPr>
            <w:r>
              <w:rPr>
                <w:rFonts w:ascii="Arial" w:hAnsi="Arial"/>
                <w:b w:val="0"/>
                <w:color w:val="172B4D"/>
                <w:sz w:val="18"/>
              </w:rPr>
              <w:t>القيود العكسية</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ACC-017</w:t>
            </w:r>
          </w:p>
        </w:tc>
        <w:tc>
          <w:tcPr>
            <w:tcW w:type="dxa" w:w="3888"/>
            <w:vAlign w:val="center"/>
          </w:tcPr>
          <w:p>
            <w:pPr>
              <w:spacing w:after="100" w:line="276" w:lineRule="auto"/>
              <w:jc w:val="right"/>
              <w:bidi w:val="1"/>
            </w:pPr>
            <w:r>
              <w:rPr>
                <w:rFonts w:ascii="Arial" w:hAnsi="Arial"/>
                <w:b w:val="0"/>
                <w:color w:val="172B4D"/>
                <w:sz w:val="18"/>
              </w:rPr>
              <w:t>التسويات المحاسبية</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ACC-018</w:t>
            </w:r>
          </w:p>
        </w:tc>
        <w:tc>
          <w:tcPr>
            <w:tcW w:type="dxa" w:w="3888"/>
            <w:vAlign w:val="center"/>
          </w:tcPr>
          <w:p>
            <w:pPr>
              <w:spacing w:after="100" w:line="276" w:lineRule="auto"/>
              <w:jc w:val="right"/>
              <w:bidi w:val="1"/>
            </w:pPr>
            <w:r>
              <w:rPr>
                <w:rFonts w:ascii="Arial" w:hAnsi="Arial"/>
                <w:b w:val="0"/>
                <w:color w:val="172B4D"/>
                <w:sz w:val="18"/>
              </w:rPr>
              <w:t>إقفال الفترات</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ACC-019</w:t>
            </w:r>
          </w:p>
        </w:tc>
        <w:tc>
          <w:tcPr>
            <w:tcW w:type="dxa" w:w="3888"/>
            <w:vAlign w:val="center"/>
          </w:tcPr>
          <w:p>
            <w:pPr>
              <w:spacing w:after="100" w:line="276" w:lineRule="auto"/>
              <w:jc w:val="right"/>
              <w:bidi w:val="1"/>
            </w:pPr>
            <w:r>
              <w:rPr>
                <w:rFonts w:ascii="Arial" w:hAnsi="Arial"/>
                <w:b w:val="0"/>
                <w:color w:val="172B4D"/>
                <w:sz w:val="18"/>
              </w:rPr>
              <w:t>الإقفال السنوي</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ACC-020</w:t>
            </w:r>
          </w:p>
        </w:tc>
        <w:tc>
          <w:tcPr>
            <w:tcW w:type="dxa" w:w="3888"/>
            <w:vAlign w:val="center"/>
          </w:tcPr>
          <w:p>
            <w:pPr>
              <w:spacing w:after="100" w:line="276" w:lineRule="auto"/>
              <w:jc w:val="right"/>
              <w:bidi w:val="1"/>
            </w:pPr>
            <w:r>
              <w:rPr>
                <w:rFonts w:ascii="Arial" w:hAnsi="Arial"/>
                <w:b w:val="0"/>
                <w:color w:val="172B4D"/>
                <w:sz w:val="18"/>
              </w:rPr>
              <w:t>فتح وإعادة فتح الفترات</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معاملات</w:t>
            </w:r>
          </w:p>
        </w:tc>
      </w:tr>
      <w:tr>
        <w:tc>
          <w:tcPr>
            <w:tcW w:type="dxa" w:w="1440"/>
            <w:vAlign w:val="center"/>
          </w:tcPr>
          <w:p>
            <w:pPr>
              <w:spacing w:after="100" w:line="276" w:lineRule="auto"/>
              <w:jc w:val="right"/>
              <w:bidi w:val="1"/>
            </w:pPr>
            <w:r>
              <w:rPr>
                <w:rFonts w:ascii="Arial" w:hAnsi="Arial"/>
                <w:b w:val="0"/>
                <w:color w:val="172B4D"/>
                <w:sz w:val="18"/>
              </w:rPr>
              <w:t>ACC-021</w:t>
            </w:r>
          </w:p>
        </w:tc>
        <w:tc>
          <w:tcPr>
            <w:tcW w:type="dxa" w:w="3888"/>
            <w:vAlign w:val="center"/>
          </w:tcPr>
          <w:p>
            <w:pPr>
              <w:spacing w:after="100" w:line="276" w:lineRule="auto"/>
              <w:jc w:val="right"/>
              <w:bidi w:val="1"/>
            </w:pPr>
            <w:r>
              <w:rPr>
                <w:rFonts w:ascii="Arial" w:hAnsi="Arial"/>
                <w:b w:val="0"/>
                <w:color w:val="172B4D"/>
                <w:sz w:val="18"/>
              </w:rPr>
              <w:t>دفتر اليومية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ACC-022</w:t>
            </w:r>
          </w:p>
        </w:tc>
        <w:tc>
          <w:tcPr>
            <w:tcW w:type="dxa" w:w="3888"/>
            <w:vAlign w:val="center"/>
          </w:tcPr>
          <w:p>
            <w:pPr>
              <w:spacing w:after="100" w:line="276" w:lineRule="auto"/>
              <w:jc w:val="right"/>
              <w:bidi w:val="1"/>
            </w:pPr>
            <w:r>
              <w:rPr>
                <w:rFonts w:ascii="Arial" w:hAnsi="Arial"/>
                <w:b w:val="0"/>
                <w:color w:val="172B4D"/>
                <w:sz w:val="18"/>
              </w:rPr>
              <w:t>دفتر الأستاذ العام</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ACC-023</w:t>
            </w:r>
          </w:p>
        </w:tc>
        <w:tc>
          <w:tcPr>
            <w:tcW w:type="dxa" w:w="3888"/>
            <w:vAlign w:val="center"/>
          </w:tcPr>
          <w:p>
            <w:pPr>
              <w:spacing w:after="100" w:line="276" w:lineRule="auto"/>
              <w:jc w:val="right"/>
              <w:bidi w:val="1"/>
            </w:pPr>
            <w:r>
              <w:rPr>
                <w:rFonts w:ascii="Arial" w:hAnsi="Arial"/>
                <w:b w:val="0"/>
                <w:color w:val="172B4D"/>
                <w:sz w:val="18"/>
              </w:rPr>
              <w:t>كشف حساب</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ACC-024</w:t>
            </w:r>
          </w:p>
        </w:tc>
        <w:tc>
          <w:tcPr>
            <w:tcW w:type="dxa" w:w="3888"/>
            <w:vAlign w:val="center"/>
          </w:tcPr>
          <w:p>
            <w:pPr>
              <w:spacing w:after="100" w:line="276" w:lineRule="auto"/>
              <w:jc w:val="right"/>
              <w:bidi w:val="1"/>
            </w:pPr>
            <w:r>
              <w:rPr>
                <w:rFonts w:ascii="Arial" w:hAnsi="Arial"/>
                <w:b w:val="0"/>
                <w:color w:val="172B4D"/>
                <w:sz w:val="18"/>
              </w:rPr>
              <w:t>ميزان المراجعة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ACC-025</w:t>
            </w:r>
          </w:p>
        </w:tc>
        <w:tc>
          <w:tcPr>
            <w:tcW w:type="dxa" w:w="3888"/>
            <w:vAlign w:val="center"/>
          </w:tcPr>
          <w:p>
            <w:pPr>
              <w:spacing w:after="100" w:line="276" w:lineRule="auto"/>
              <w:jc w:val="right"/>
              <w:bidi w:val="1"/>
            </w:pPr>
            <w:r>
              <w:rPr>
                <w:rFonts w:ascii="Arial" w:hAnsi="Arial"/>
                <w:b w:val="0"/>
                <w:color w:val="172B4D"/>
                <w:sz w:val="18"/>
              </w:rPr>
              <w:t>قائمة الدخل</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ACC-026</w:t>
            </w:r>
          </w:p>
        </w:tc>
        <w:tc>
          <w:tcPr>
            <w:tcW w:type="dxa" w:w="3888"/>
            <w:vAlign w:val="center"/>
          </w:tcPr>
          <w:p>
            <w:pPr>
              <w:spacing w:after="100" w:line="276" w:lineRule="auto"/>
              <w:jc w:val="right"/>
              <w:bidi w:val="1"/>
            </w:pPr>
            <w:r>
              <w:rPr>
                <w:rFonts w:ascii="Arial" w:hAnsi="Arial"/>
                <w:b w:val="0"/>
                <w:color w:val="172B4D"/>
                <w:sz w:val="18"/>
              </w:rPr>
              <w:t>الميزانية العمومية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ACC-027</w:t>
            </w:r>
          </w:p>
        </w:tc>
        <w:tc>
          <w:tcPr>
            <w:tcW w:type="dxa" w:w="3888"/>
            <w:vAlign w:val="center"/>
          </w:tcPr>
          <w:p>
            <w:pPr>
              <w:spacing w:after="100" w:line="276" w:lineRule="auto"/>
              <w:jc w:val="right"/>
              <w:bidi w:val="1"/>
            </w:pPr>
            <w:r>
              <w:rPr>
                <w:rFonts w:ascii="Arial" w:hAnsi="Arial"/>
                <w:b w:val="0"/>
                <w:color w:val="172B4D"/>
                <w:sz w:val="18"/>
              </w:rPr>
              <w:t>قائمة التدفقات النقدية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ACC-028</w:t>
            </w:r>
          </w:p>
        </w:tc>
        <w:tc>
          <w:tcPr>
            <w:tcW w:type="dxa" w:w="3888"/>
            <w:vAlign w:val="center"/>
          </w:tcPr>
          <w:p>
            <w:pPr>
              <w:spacing w:after="100" w:line="276" w:lineRule="auto"/>
              <w:jc w:val="right"/>
              <w:bidi w:val="1"/>
            </w:pPr>
            <w:r>
              <w:rPr>
                <w:rFonts w:ascii="Arial" w:hAnsi="Arial"/>
                <w:b w:val="0"/>
                <w:color w:val="172B4D"/>
                <w:sz w:val="18"/>
              </w:rPr>
              <w:t>ميزان المراجعة حسب العملة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ACC-029</w:t>
            </w:r>
          </w:p>
        </w:tc>
        <w:tc>
          <w:tcPr>
            <w:tcW w:type="dxa" w:w="3888"/>
            <w:vAlign w:val="center"/>
          </w:tcPr>
          <w:p>
            <w:pPr>
              <w:spacing w:after="100" w:line="276" w:lineRule="auto"/>
              <w:jc w:val="right"/>
              <w:bidi w:val="1"/>
            </w:pPr>
            <w:r>
              <w:rPr>
                <w:rFonts w:ascii="Arial" w:hAnsi="Arial"/>
                <w:b w:val="0"/>
                <w:color w:val="172B4D"/>
                <w:sz w:val="18"/>
              </w:rPr>
              <w:t>تقرير حركة مركز التكلفة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ACC-030</w:t>
            </w:r>
          </w:p>
        </w:tc>
        <w:tc>
          <w:tcPr>
            <w:tcW w:type="dxa" w:w="3888"/>
            <w:vAlign w:val="center"/>
          </w:tcPr>
          <w:p>
            <w:pPr>
              <w:spacing w:after="100" w:line="276" w:lineRule="auto"/>
              <w:jc w:val="right"/>
              <w:bidi w:val="1"/>
            </w:pPr>
            <w:r>
              <w:rPr>
                <w:rFonts w:ascii="Arial" w:hAnsi="Arial"/>
                <w:b w:val="0"/>
                <w:color w:val="172B4D"/>
                <w:sz w:val="18"/>
              </w:rPr>
              <w:t>تقرير الصناديق</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ACC-031</w:t>
            </w:r>
          </w:p>
        </w:tc>
        <w:tc>
          <w:tcPr>
            <w:tcW w:type="dxa" w:w="3888"/>
            <w:vAlign w:val="center"/>
          </w:tcPr>
          <w:p>
            <w:pPr>
              <w:spacing w:after="100" w:line="276" w:lineRule="auto"/>
              <w:jc w:val="right"/>
              <w:bidi w:val="1"/>
            </w:pPr>
            <w:r>
              <w:rPr>
                <w:rFonts w:ascii="Arial" w:hAnsi="Arial"/>
                <w:b w:val="0"/>
                <w:color w:val="172B4D"/>
                <w:sz w:val="18"/>
              </w:rPr>
              <w:t>تقرير الحسابات البنكية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ACC-032</w:t>
            </w:r>
          </w:p>
        </w:tc>
        <w:tc>
          <w:tcPr>
            <w:tcW w:type="dxa" w:w="3888"/>
            <w:vAlign w:val="center"/>
          </w:tcPr>
          <w:p>
            <w:pPr>
              <w:spacing w:after="100" w:line="276" w:lineRule="auto"/>
              <w:jc w:val="right"/>
              <w:bidi w:val="1"/>
            </w:pPr>
            <w:r>
              <w:rPr>
                <w:rFonts w:ascii="Arial" w:hAnsi="Arial"/>
                <w:b w:val="0"/>
                <w:color w:val="172B4D"/>
                <w:sz w:val="18"/>
              </w:rPr>
              <w:t>تقرير القيود غير المرحلة</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تقارير</w:t>
            </w:r>
          </w:p>
        </w:tc>
      </w:tr>
      <w:tr>
        <w:tc>
          <w:tcPr>
            <w:tcW w:type="dxa" w:w="1440"/>
            <w:vAlign w:val="center"/>
          </w:tcPr>
          <w:p>
            <w:pPr>
              <w:spacing w:after="100" w:line="276" w:lineRule="auto"/>
              <w:jc w:val="right"/>
              <w:bidi w:val="1"/>
            </w:pPr>
            <w:r>
              <w:rPr>
                <w:rFonts w:ascii="Arial" w:hAnsi="Arial"/>
                <w:b w:val="0"/>
                <w:color w:val="172B4D"/>
                <w:sz w:val="18"/>
              </w:rPr>
              <w:t>ACC-033</w:t>
            </w:r>
          </w:p>
        </w:tc>
        <w:tc>
          <w:tcPr>
            <w:tcW w:type="dxa" w:w="3888"/>
            <w:vAlign w:val="center"/>
          </w:tcPr>
          <w:p>
            <w:pPr>
              <w:spacing w:after="100" w:line="276" w:lineRule="auto"/>
              <w:jc w:val="right"/>
              <w:bidi w:val="1"/>
            </w:pPr>
            <w:r>
              <w:rPr>
                <w:rFonts w:ascii="Arial" w:hAnsi="Arial"/>
                <w:b w:val="0"/>
                <w:color w:val="172B4D"/>
                <w:sz w:val="18"/>
              </w:rPr>
              <w:t>التسويات البنكية</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ACC-034</w:t>
            </w:r>
          </w:p>
        </w:tc>
        <w:tc>
          <w:tcPr>
            <w:tcW w:type="dxa" w:w="3888"/>
            <w:vAlign w:val="center"/>
          </w:tcPr>
          <w:p>
            <w:pPr>
              <w:spacing w:after="100" w:line="276" w:lineRule="auto"/>
              <w:jc w:val="right"/>
              <w:bidi w:val="1"/>
            </w:pPr>
            <w:r>
              <w:rPr>
                <w:rFonts w:ascii="Arial" w:hAnsi="Arial"/>
                <w:b w:val="0"/>
                <w:color w:val="172B4D"/>
                <w:sz w:val="18"/>
              </w:rPr>
              <w:t>عناصر المطابقة البنكية</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ACC-035</w:t>
            </w:r>
          </w:p>
        </w:tc>
        <w:tc>
          <w:tcPr>
            <w:tcW w:type="dxa" w:w="3888"/>
            <w:vAlign w:val="center"/>
          </w:tcPr>
          <w:p>
            <w:pPr>
              <w:spacing w:after="100" w:line="276" w:lineRule="auto"/>
              <w:jc w:val="right"/>
              <w:bidi w:val="1"/>
            </w:pPr>
            <w:r>
              <w:rPr>
                <w:rFonts w:ascii="Arial" w:hAnsi="Arial"/>
                <w:b w:val="0"/>
                <w:color w:val="172B4D"/>
                <w:sz w:val="18"/>
              </w:rPr>
              <w:t>اعتماد التسويات البنكية</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ACC-036</w:t>
            </w:r>
          </w:p>
        </w:tc>
        <w:tc>
          <w:tcPr>
            <w:tcW w:type="dxa" w:w="3888"/>
            <w:vAlign w:val="center"/>
          </w:tcPr>
          <w:p>
            <w:pPr>
              <w:spacing w:after="100" w:line="276" w:lineRule="auto"/>
              <w:jc w:val="right"/>
              <w:bidi w:val="1"/>
            </w:pPr>
            <w:r>
              <w:rPr>
                <w:rFonts w:ascii="Arial" w:hAnsi="Arial"/>
                <w:b w:val="0"/>
                <w:color w:val="172B4D"/>
                <w:sz w:val="18"/>
              </w:rPr>
              <w:t>الأرصدة الافتتاحية</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ACC-037</w:t>
            </w:r>
          </w:p>
        </w:tc>
        <w:tc>
          <w:tcPr>
            <w:tcW w:type="dxa" w:w="3888"/>
            <w:vAlign w:val="center"/>
          </w:tcPr>
          <w:p>
            <w:pPr>
              <w:spacing w:after="100" w:line="276" w:lineRule="auto"/>
              <w:jc w:val="right"/>
              <w:bidi w:val="1"/>
            </w:pPr>
            <w:r>
              <w:rPr>
                <w:rFonts w:ascii="Arial" w:hAnsi="Arial"/>
                <w:b w:val="0"/>
                <w:color w:val="172B4D"/>
                <w:sz w:val="18"/>
              </w:rPr>
              <w:t>استيراد الأرصدة الافتتاحية</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ACC-038</w:t>
            </w:r>
          </w:p>
        </w:tc>
        <w:tc>
          <w:tcPr>
            <w:tcW w:type="dxa" w:w="3888"/>
            <w:vAlign w:val="center"/>
          </w:tcPr>
          <w:p>
            <w:pPr>
              <w:spacing w:after="100" w:line="276" w:lineRule="auto"/>
              <w:jc w:val="right"/>
              <w:bidi w:val="1"/>
            </w:pPr>
            <w:r>
              <w:rPr>
                <w:rFonts w:ascii="Arial" w:hAnsi="Arial"/>
                <w:b w:val="0"/>
                <w:color w:val="172B4D"/>
                <w:sz w:val="18"/>
              </w:rPr>
              <w:t>اعتماد الأرصدة الافتتاحية</w:t>
            </w:r>
          </w:p>
        </w:tc>
        <w:tc>
          <w:tcPr>
            <w:tcW w:type="dxa" w:w="1008"/>
            <w:vAlign w:val="center"/>
          </w:tcPr>
          <w:p>
            <w:pPr>
              <w:spacing w:after="100" w:line="276" w:lineRule="auto"/>
              <w:jc w:val="right"/>
              <w:bidi w:val="1"/>
            </w:pPr>
            <w:r>
              <w:rPr>
                <w:rFonts w:ascii="Arial" w:hAnsi="Arial"/>
                <w:b w:val="0"/>
                <w:color w:val="172B4D"/>
                <w:sz w:val="18"/>
              </w:rPr>
              <w:t>P002</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ACC-039</w:t>
            </w:r>
          </w:p>
        </w:tc>
        <w:tc>
          <w:tcPr>
            <w:tcW w:type="dxa" w:w="3888"/>
            <w:vAlign w:val="center"/>
          </w:tcPr>
          <w:p>
            <w:pPr>
              <w:spacing w:after="100" w:line="276" w:lineRule="auto"/>
              <w:jc w:val="right"/>
              <w:bidi w:val="1"/>
            </w:pPr>
            <w:r>
              <w:rPr>
                <w:rFonts w:ascii="Arial" w:hAnsi="Arial"/>
                <w:b w:val="0"/>
                <w:color w:val="172B4D"/>
                <w:sz w:val="18"/>
              </w:rPr>
              <w:t>طلبات الاعتماد المحاسبية</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ACC-040</w:t>
            </w:r>
          </w:p>
        </w:tc>
        <w:tc>
          <w:tcPr>
            <w:tcW w:type="dxa" w:w="3888"/>
            <w:vAlign w:val="center"/>
          </w:tcPr>
          <w:p>
            <w:pPr>
              <w:spacing w:after="100" w:line="276" w:lineRule="auto"/>
              <w:jc w:val="right"/>
              <w:bidi w:val="1"/>
            </w:pPr>
            <w:r>
              <w:rPr>
                <w:rFonts w:ascii="Arial" w:hAnsi="Arial"/>
                <w:b w:val="0"/>
                <w:color w:val="172B4D"/>
                <w:sz w:val="18"/>
              </w:rPr>
              <w:t>صندوق وارد الاعتماد المحاسبي</w:t>
            </w:r>
          </w:p>
        </w:tc>
        <w:tc>
          <w:tcPr>
            <w:tcW w:type="dxa" w:w="1008"/>
            <w:vAlign w:val="center"/>
          </w:tcPr>
          <w:p>
            <w:pPr>
              <w:spacing w:after="100" w:line="276" w:lineRule="auto"/>
              <w:jc w:val="right"/>
              <w:bidi w:val="1"/>
            </w:pPr>
            <w:r>
              <w:rPr>
                <w:rFonts w:ascii="Arial" w:hAnsi="Arial"/>
                <w:b w:val="0"/>
                <w:color w:val="172B4D"/>
                <w:sz w:val="18"/>
              </w:rPr>
              <w:t>P001</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ACC-041</w:t>
            </w:r>
          </w:p>
        </w:tc>
        <w:tc>
          <w:tcPr>
            <w:tcW w:type="dxa" w:w="3888"/>
            <w:vAlign w:val="center"/>
          </w:tcPr>
          <w:p>
            <w:pPr>
              <w:spacing w:after="100" w:line="276" w:lineRule="auto"/>
              <w:jc w:val="right"/>
              <w:bidi w:val="1"/>
            </w:pPr>
            <w:r>
              <w:rPr>
                <w:rFonts w:ascii="Arial" w:hAnsi="Arial"/>
                <w:b w:val="0"/>
                <w:color w:val="172B4D"/>
                <w:sz w:val="18"/>
              </w:rPr>
              <w:t>سياسات الاعتماد المحاسبي</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ACC-042</w:t>
            </w:r>
          </w:p>
        </w:tc>
        <w:tc>
          <w:tcPr>
            <w:tcW w:type="dxa" w:w="3888"/>
            <w:vAlign w:val="center"/>
          </w:tcPr>
          <w:p>
            <w:pPr>
              <w:spacing w:after="100" w:line="276" w:lineRule="auto"/>
              <w:jc w:val="right"/>
              <w:bidi w:val="1"/>
            </w:pPr>
            <w:r>
              <w:rPr>
                <w:rFonts w:ascii="Arial" w:hAnsi="Arial"/>
                <w:b w:val="0"/>
                <w:color w:val="172B4D"/>
                <w:sz w:val="18"/>
              </w:rPr>
              <w:t>ضوابط الترحيل المحاسبي</w:t>
            </w:r>
          </w:p>
        </w:tc>
        <w:tc>
          <w:tcPr>
            <w:tcW w:type="dxa" w:w="1008"/>
            <w:vAlign w:val="center"/>
          </w:tcPr>
          <w:p>
            <w:pPr>
              <w:spacing w:after="100" w:line="276" w:lineRule="auto"/>
              <w:jc w:val="right"/>
              <w:bidi w:val="1"/>
            </w:pPr>
            <w:r>
              <w:rPr>
                <w:rFonts w:ascii="Arial" w:hAnsi="Arial"/>
                <w:b w:val="0"/>
                <w:color w:val="172B4D"/>
                <w:sz w:val="18"/>
              </w:rPr>
              <w:t>P004</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ACC-043</w:t>
            </w:r>
          </w:p>
        </w:tc>
        <w:tc>
          <w:tcPr>
            <w:tcW w:type="dxa" w:w="3888"/>
            <w:vAlign w:val="center"/>
          </w:tcPr>
          <w:p>
            <w:pPr>
              <w:spacing w:after="100" w:line="276" w:lineRule="auto"/>
              <w:jc w:val="right"/>
              <w:bidi w:val="1"/>
            </w:pPr>
            <w:r>
              <w:rPr>
                <w:rFonts w:ascii="Arial" w:hAnsi="Arial"/>
                <w:b w:val="0"/>
                <w:color w:val="172B4D"/>
                <w:sz w:val="18"/>
              </w:rPr>
              <w:t>سجل التدقيق المحاسبي</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رقابة</w:t>
            </w:r>
          </w:p>
        </w:tc>
      </w:tr>
      <w:tr>
        <w:tc>
          <w:tcPr>
            <w:tcW w:type="dxa" w:w="1440"/>
            <w:vAlign w:val="center"/>
          </w:tcPr>
          <w:p>
            <w:pPr>
              <w:spacing w:after="100" w:line="276" w:lineRule="auto"/>
              <w:jc w:val="right"/>
              <w:bidi w:val="1"/>
            </w:pPr>
            <w:r>
              <w:rPr>
                <w:rFonts w:ascii="Arial" w:hAnsi="Arial"/>
                <w:b w:val="0"/>
                <w:color w:val="172B4D"/>
                <w:sz w:val="18"/>
              </w:rPr>
              <w:t>ACC-044</w:t>
            </w:r>
          </w:p>
        </w:tc>
        <w:tc>
          <w:tcPr>
            <w:tcW w:type="dxa" w:w="3888"/>
            <w:vAlign w:val="center"/>
          </w:tcPr>
          <w:p>
            <w:pPr>
              <w:spacing w:after="100" w:line="276" w:lineRule="auto"/>
              <w:jc w:val="right"/>
              <w:bidi w:val="1"/>
            </w:pPr>
            <w:r>
              <w:rPr>
                <w:rFonts w:ascii="Arial" w:hAnsi="Arial"/>
                <w:b w:val="0"/>
                <w:color w:val="172B4D"/>
                <w:sz w:val="18"/>
              </w:rPr>
              <w:t>مراقبة سلامة القيود</w:t>
            </w:r>
          </w:p>
        </w:tc>
        <w:tc>
          <w:tcPr>
            <w:tcW w:type="dxa" w:w="1008"/>
            <w:vAlign w:val="center"/>
          </w:tcPr>
          <w:p>
            <w:pPr>
              <w:spacing w:after="100" w:line="276" w:lineRule="auto"/>
              <w:jc w:val="right"/>
              <w:bidi w:val="1"/>
            </w:pPr>
            <w:r>
              <w:rPr>
                <w:rFonts w:ascii="Arial" w:hAnsi="Arial"/>
                <w:b w:val="0"/>
                <w:color w:val="172B4D"/>
                <w:sz w:val="18"/>
              </w:rPr>
              <w:t>P003</w:t>
            </w:r>
          </w:p>
        </w:tc>
        <w:tc>
          <w:tcPr>
            <w:tcW w:type="dxa" w:w="1584"/>
            <w:vAlign w:val="center"/>
          </w:tcPr>
          <w:p>
            <w:pPr>
              <w:spacing w:after="100" w:line="276" w:lineRule="auto"/>
              <w:jc w:val="right"/>
              <w:bidi w:val="1"/>
            </w:pPr>
            <w:r>
              <w:rPr>
                <w:rFonts w:ascii="Arial" w:hAnsi="Arial"/>
                <w:b w:val="0"/>
                <w:color w:val="172B4D"/>
                <w:sz w:val="18"/>
              </w:rPr>
              <w:t>رقابة</w:t>
            </w:r>
          </w:p>
        </w:tc>
      </w:tr>
    </w:tbl>
    <w:p>
      <w:r>
        <w:br w:type="page"/>
      </w:r>
    </w:p>
    <w:p>
      <w:pPr>
        <w:pStyle w:val="Heading1"/>
        <w:spacing w:after="100" w:line="276" w:lineRule="auto"/>
        <w:jc w:val="right"/>
        <w:bidi w:val="1"/>
      </w:pPr>
      <w:r>
        <w:rPr>
          <w:rFonts w:ascii="Arial" w:hAnsi="Arial"/>
        </w:rPr>
        <w:t>ACC-001 — دليل الحسابات</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إنشاء وإدارة الشجرة المحاسبية والحسابات القابلة للترحيل</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الرمز، الاسم العربي، الاسم الإنجليزي، النوع، المجموعة، الأب، طبيعة الرصيد، العملة، قابل للترحيل،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التصنيف والرقابة، الأرصدة والارتباطات.</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ACC-002 — أنواع الحسابات</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تعريف أنواع الحسابات وقواعد طبيعة الرصيد</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العربي، الاسم الإنجليزي، طبيعة الرصيد، قائمة الدخل/المركز المالي،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الكود/الاسم/طبيعة الرصيد/الحالة.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ACC-003 — مجموعات الحسابات</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تصنيف الحسابات ضمن مجموعات قابلة للتقارير والرقابة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العربي، الاسم الإنجليزي، النوع، المجموعة الأم، ترتيب العرض،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الكود/الاسم/النوع/الحالة.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ACC-004 — مراكز التكلفة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إدارة مراكز التكلفة والنطاق التشغيلي المرتبط بها</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العربي، الاسم الإنجليزي، المركز الأب، الفرع، مسؤول المركز،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حدود الاستخدام.</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ACC-005 — الصناديق</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إدارة الصناديق النقدية وحدود العهدة والربط بالحساب</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العربي، اسم إنجليزي، الحساب النقدي، الفرع، أمين الصندوق، حد العهدة، العملة،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العهدة والرقابة.</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ACC-006 — الحسابات البنكية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تعريف الحسابات البنكية وربطها بالحساب المحاسبي والعملات</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اسم البنك، اسم الحساب، رقم الحساب/IBAN، الحساب المحاسبي، العملة، الفرع،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بيانات الاتصال، الربط المحاسبي.</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ACC-007 — طرق الدفع</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تعريف طرق التحصيل والصرف والقيود المرتبطة بها</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العربي، النوع، الحساب الافتراضي، يتطلب مرجعاً،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الكود/الاسم/النوع/الحساب/الحالة.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ACC-008 — السنوات المالية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تعريف السنة المالية ومسار فتحها وإقفالها</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تاريخ البداية، تاريخ النهاية، الشركة،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حالات الفتح والإقفال.</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ACC-009 — الفترات المالية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إنشاء فترات السنة وفتحها أو إقفالها بحسب السياسة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السنة، رقم الفترة، الاسم، البداية، النهاية، حالة الإدخال، حالة الترحيل.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السنة/الفترة/التاريخ/الإدخال/الترحيل.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ACC-010 — القيود اليومية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إدخال ومراجعة وترحيل القيود اليومية متعددة الأسطر</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القيد (نظامي)، التاريخ، النوع، المرجع، الوصف، العملة، سعر الصرف، الحالة؛ الأسطر: الحساب، مركز التكلفة، مدين، دائن، البيان.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تفاصيل القيد، المرفقات، الاعتماد.</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ACC-011 — سندات القبض</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تسجيل تحصيل نقدي أو بنكي وتوزيعه محاسبياً</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السند (نظامي)، التاريخ، العميل/الدافع، طريقة الدفع، الصندوق/البنك، العملة، سعر الصرف، المرجع، الحالة؛ الأسطر: الحساب، المبلغ، البيان.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التوزيع المحاسبي، المرفقات.</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ACC-012 — سندات الصرف</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تسجيل المدفوعات النقدية أو البنكية وتوزيعها محاسبياً</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السند (نظامي)، التاريخ، المستفيد، طريقة الدفع، الصندوق/البنك، العملة، سعر الصرف، المرجع، الحالة؛ الأسطر: الحساب، المبلغ، البيان.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التوزيع المحاسبي، المرفقات.</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ACC-013 — سندات التحويل النقدي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تحويل الأموال بين الصناديق ضمن النطاق المصرح</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السند (نظامي)، التاريخ، صندوق المصدر، صندوق الوجهة، العملة، المبلغ، المرجع،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القيد الناتج.</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ACC-014 — سندات التحويل البنكي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تحويل الأموال بين الحسابات البنكية أو من صندوق إلى بنك</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السند (نظامي)، التاريخ، المصدر، الوجهة، رقم التحويل، العملة، سعر الصرف، المبلغ،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القيد الناتج، المرفقات.</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ACC-015 — القيود المتكررة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تعريف قوالب القيود وجدول تكرارها دون إنشاء رقم مسبق</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دورية التكرار، تاريخ البدء، تاريخ الانتهاء، الحسابات والأسطر،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أسطر القيد، الجدولة.</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ACC-016 — القيود العكسية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إنشاء قيد عكسي موثق لقيد مرحل وفق الصلاحية والسياسة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العكس (نظامي)، القيد المصدر، التاريخ، السبب، الحالة؛ الأسطر تقرأ من المصدر وتظهر للمعاينة.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القيد المصدر، الأسطر.</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ACC-017 — التسويات المحاسبية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إدخال تسويات مع سبب وأدلة واعتماد قبل الترحيل</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التسوية (نظامي)، التاريخ، النوع، السبب، المرجع، الحالة؛ الأسطر: الحساب، مركز التكلفة، مدين، دائن، بيان.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أسطر التسوية، المرفقات، الاعتماد.</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ACC-018 — إقفال الفترات</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تنفيذ وإثبات إقفال فترة بعد فحوصات الترحيل والموافقات</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العملية (نظامي)، السنة، الفترة، تاريخ الإقفال، قائمة الفحوصات، السبب،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فحوصات الإقفال، سجل التنفيذ.</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ACC-019 — الإقفال السنوي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ترحيل نتائج السنة وفتح سنة لاحقة وفق سياسة محكومة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العملية (نظامي)، السنة المصدر، السنة الوجهة، تاريخ الإقفال، حسابات الإقفال،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فحوصات الإقفال، القيود الناتجة.</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ACC-020 — فتح وإعادة فتح الفترات</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طلب فتح فترة مقفلة أو إعادة فتحها بأثر مدقق</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الطلب (نظامي)، السنة، الفترة، الإجراء، السبب، المدة،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الاعتمادات، سجل الأثر.</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ACC-021 — دفتر اليومية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عرض القيود بحسب المعايير مع طباعة وتصدير مقيدين بالصلاحية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الحساب، الفرع، مركز التكلفة، الحالة، العملة، نوع القيد.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التاريخ/الرقم/الحساب/مدين/دائن/الحالة.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ACC-022 — دفتر الأستاذ العام</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عرض حركة ورصيد الحساب بفلاتر النطاق والتاريخ</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الحساب، من تاريخ، إلى تاريخ، الفرع، مركز التكلفة، العملة، يشمل القيود غير المرحلة.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التاريخ/القيد/البيان/مدين/دائن/الرصيد.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ACC-023 — كشف حساب</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إصدار كشف حساب تفصيلي لعميل أو مورد أو حساب عام</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نوع الطرف، الطرف/الحساب، من تاريخ، إلى تاريخ، العملة، الفرع، حالة السند.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التاريخ/المستند/البيان/مدين/دائن/الرصيد.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ACC-024 — ميزان المراجعة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عرض أرصدة الحسابات ضمن مستوى شجرة محدد</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مستوى الحساب، الفرع، مركز التكلفة، العملة، شامل الصفر.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الحساب/مدين افتتاحي/دائن افتتاحي/حركة/رصيد.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ACC-025 — قائمة الدخل</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إظهار الإيرادات والمصروفات وصافي النتيجة بفلاتر التقرير</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الشركة، الفرع، مركز التكلفة، مقارنة بفترة، العملة.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البند/الفترة/المقارنة/الفرق.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ACC-026 — الميزانية العمومية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إظهار الأصول والالتزامات وحقوق الملكية عند تاريخ محدد</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حتى تاريخ، الشركة، الفرع، مركز التكلفة، مستوى العرض، العملة.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القسم/الحساب/الرصيد/المقارنة.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ACC-027 — قائمة التدفقات النقدية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عرض التدفقات التشغيلية والاستثمارية والتمويلية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الشركة، الفرع، العملة، طريقة العرض.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الفئة/البند/القيمة/النسبة.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ACC-028 — ميزان المراجعة حسب العملة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تحليل أرصدة الحسابات محلياً وأجنبياً وسعر الصرف</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العملة، الفرع، مستوى الحساب، شامل الصفر.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الحساب/العملة/الرصيد الأجنبي/المحلي.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ACC-029 — تقرير حركة مركز التكلفة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تحليل الحركة والأرصدة وفق مركز التكلفة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المركز، من تاريخ، إلى تاريخ، الحساب، الفرع، العملة.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المركز/الحساب/مدين/دائن/الرصيد.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ACC-030 — تقرير الصناديق</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عرض حركة وأرصدة الصناديق والعهد</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الصندوق، من تاريخ، إلى تاريخ، العملة، الفرع،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التاريخ/المستند/داخل/خارج/الرصيد.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ACC-031 — تقرير الحسابات البنكية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عرض حركة وأرصدة الحسابات البنكية ومراجع التحويل</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البنك/الحساب، من تاريخ، إلى تاريخ، العملة، الفرع، حالة المطابقة.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التاريخ/المرجع/مدين/دائن/الرصيد.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ACC-032 — تقرير القيود غير المرحلة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متابعة المسودات والقيود المعلقة ومنع تجاوز الرقابة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النوع، المنشئ، الفرع، سبب التعليق.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الرقم/التاريخ/المنشئ/الحالة/السبب.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ACC-033 — التسويات البنكية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مطابقة كشف البنك مع الحركات المسجلة وإثبات الفروقات</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التسوية (نظامي)، الحساب البنكي، تاريخ الكشف، الرصيد حسب البنك، الرصيد الدفتري، الفرق،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عناصر المطابقة، التسويات الناتجة.</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ACC-034 — عناصر المطابقة البنكية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متابعة العناصر غير المطابقة والمعلقة بين البنك والدفتر</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الحساب البنكي، نوع العنصر، التاريخ، المرجع، المبلغ، مصدر الحركة، حالة المطابقة.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البنك/التاريخ/المرجع/المبلغ/الحالة.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ACC-035 — اعتماد التسويات البنكية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مراجعة واعتماد أو رفض تسويات بنكية وفق الصلاحية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طلب (نظامي)، التسوية، القرار، الملاحظات، الحالة، تاريخ القرار.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عناصر المطابقة، سجل القرار.</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ACC-036 — الأرصدة الافتتاحية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إدخال أرصدة افتتاحية موزونة وفق السنة والحسابات</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المستند (نظامي)، السنة، التاريخ، العملة، المرجع، الحالة؛ الأسطر: الحساب، مركز التكلفة، مدين، دائن، عملة أجنبية، سعر الصرف.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أسطر الأرصدة، المرفقات، الاعتماد.</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ACC-037 — استيراد الأرصدة الافتتاحية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تحميل ومراجعة ملف أرصدة قبل إنشاء مسودة قابلة للتدقيق</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العملية (نظامي)، السنة، ملف المصدر، قالب الاستيراد، نتيجة التحقق،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الملف والتحقق، معاينة الصفوف، أخطاء الاستيراد.</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ACC-038 — اعتماد الأرصدة الافتتاحية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اعتماد الأرصدة الافتتاحية أو رفضها مع توثيق القرار</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P002</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الطلب (نظامي)، مستند الأرصدة، القرار، الملاحظات، الحالة، تاريخ القرار.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عند الحاجة ← C005 (رأس المعاملة + C009) ← المجاميع ← C011 ← C012 عند الحاجة.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ملخص الأرصدة، سجل القرار.</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ACC-039 — طلبات الاعتماد المحاسبية</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تجميع الطلبات المحاسبية التي تتطلب قراراً حسب النطاق</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الطلب، نوع الطلب، المستند، مقدم الطلب، المستوى الحالي، الحالة، تاريخ الإنشاء.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الرقم/النوع/المستند/المقدم/الحالة.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ACC-040 — صندوق وارد الاعتماد المحاسبي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تمكين المعتمد من اتخاذ القرار على الطلبات المسندة إليه</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P001</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رقم الطلب، النوع، المستند، مقدم الطلب، تاريخ الإرسال، مستوى الاعتماد،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C005 ← C007 ← C008 ← C010 ← C011.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الطلب/النوع/المستند/التاريخ/الحالة.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ACC-041 — سياسات الاعتماد المحاسبي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تعريف مسارات الاعتماد وحدودها دون منح صلاحيات مباشرة</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نوع المستند، نطاق الشركة/الفرع، حد المبلغ، العملة،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المستويات، الاستثناءات.</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ACC-042 — ضوابط الترحيل المحاسبي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ضبط قواعد الترحيل والفترات والحسابات المسموح بها</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P004</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الكود، الاسم، نوع المستند، حساب مدين، حساب دائن، شرط الترحيل،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C004 ← محتوى كل تبويب وفق P001 أو P002 ← C011. C001 وC013 وC014 وC015 وC016 من الإطار الرئيسي ولا يعاد رسمها داخل الشاشة.</w:t>
      </w:r>
    </w:p>
    <w:p>
      <w:pPr>
        <w:spacing w:after="100" w:line="276" w:lineRule="auto"/>
        <w:jc w:val="right"/>
        <w:bidi w:val="1"/>
      </w:pPr>
      <w:r>
        <w:rPr>
          <w:rFonts w:ascii="Arial" w:hAnsi="Arial"/>
        </w:rPr>
        <w:t>التبويبات من اليمين: البيانات الرئيسية، قواعد الحسابات، الاستثناءات.</w:t>
      </w:r>
    </w:p>
    <w:p>
      <w:pPr>
        <w:spacing w:after="100" w:line="276" w:lineRule="auto"/>
        <w:jc w:val="right"/>
        <w:bidi w:val="1"/>
      </w:pPr>
      <w:r>
        <w:rPr>
          <w:rFonts w:ascii="Arial" w:hAnsi="Arial"/>
        </w:rPr>
        <w:t>لا تُخلط قائمة السجلات مع أسطر المعاملة: الأسطر تكون في C009 مع مجاميع واضحة، وقائمة السجلات — إن اعتمدت لاحقاً — تبقى تبويباً مستقلاً مع C007/C008.</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ACC-043 — سجل التدقيق المحاسبي</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استعراض أثر العمليات المحاسبية الحساسة دون تعديل</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المستخدم، الإجراء، نوع المستند، الرقم، الشركة، الفرع.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الوقت/المستخدم/الإجراء/المستند/قبل/بعد.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p>
      <w:r>
        <w:br w:type="page"/>
      </w:r>
    </w:p>
    <w:p>
      <w:pPr>
        <w:pStyle w:val="Heading1"/>
        <w:spacing w:after="100" w:line="276" w:lineRule="auto"/>
        <w:jc w:val="right"/>
        <w:bidi w:val="1"/>
      </w:pPr>
      <w:r>
        <w:rPr>
          <w:rFonts w:ascii="Arial" w:hAnsi="Arial"/>
        </w:rPr>
        <w:t>ACC-044 — مراقبة سلامة القيود</w:t>
      </w:r>
    </w:p>
    <w:tbl>
      <w:tblPr>
        <w:tblW w:type="auto" w:w="0"/>
        <w:jc w:val="right"/>
        <w:tblLayout w:type="fixed"/>
        <w:tblLook w:firstColumn="1" w:firstRow="1" w:lastColumn="0" w:lastRow="0" w:noHBand="0" w:noVBand="1" w:val="04A0"/>
        <w:tblBorders>
          <w:top w:val="single" w:sz="6" w:color="D8E2EB"/>
          <w:left w:val="single" w:sz="6" w:color="D8E2EB"/>
          <w:bottom w:val="single" w:sz="6" w:color="D8E2EB"/>
          <w:right w:val="single" w:sz="6" w:color="D8E2EB"/>
          <w:insideH w:val="single" w:sz="6" w:color="D8E2EB"/>
          <w:insideV w:val="single" w:sz="6" w:color="D8E2EB"/>
        </w:tblBorders>
      </w:tblPr>
      <w:tblGrid>
        <w:gridCol w:w="5184"/>
        <w:gridCol w:w="5184"/>
      </w:tblGrid>
      <w:tr>
        <w:tc>
          <w:tcPr>
            <w:tcW w:type="dxa" w:w="1944"/>
            <w:shd w:fill="EAF2F8"/>
            <w:vAlign w:val="center"/>
          </w:tcPr>
          <w:p>
            <w:pPr>
              <w:spacing w:after="100" w:line="276" w:lineRule="auto"/>
              <w:jc w:val="right"/>
              <w:bidi w:val="1"/>
            </w:pPr>
            <w:r>
              <w:rPr>
                <w:rFonts w:ascii="Arial" w:hAnsi="Arial"/>
                <w:b/>
                <w:color w:val="172B4D"/>
                <w:sz w:val="20"/>
              </w:rPr>
              <w:t>البند</w:t>
            </w:r>
          </w:p>
        </w:tc>
        <w:tc>
          <w:tcPr>
            <w:tcW w:type="dxa" w:w="7416"/>
            <w:shd w:fill="EAF2F8"/>
            <w:vAlign w:val="center"/>
          </w:tcPr>
          <w:p>
            <w:pPr>
              <w:spacing w:after="100" w:line="276" w:lineRule="auto"/>
              <w:jc w:val="right"/>
              <w:bidi w:val="1"/>
            </w:pPr>
            <w:r>
              <w:rPr>
                <w:rFonts w:ascii="Arial" w:hAnsi="Arial"/>
                <w:b/>
                <w:color w:val="172B4D"/>
                <w:sz w:val="20"/>
              </w:rPr>
              <w:t>المواصفة</w:t>
            </w:r>
          </w:p>
        </w:tc>
      </w:tr>
      <w:tr>
        <w:tc>
          <w:tcPr>
            <w:tcW w:type="dxa" w:w="1944"/>
            <w:vAlign w:val="center"/>
          </w:tcPr>
          <w:p>
            <w:pPr>
              <w:spacing w:after="100" w:line="276" w:lineRule="auto"/>
              <w:jc w:val="right"/>
              <w:bidi w:val="1"/>
            </w:pPr>
            <w:r>
              <w:rPr>
                <w:rFonts w:ascii="Arial" w:hAnsi="Arial"/>
                <w:b w:val="0"/>
                <w:color w:val="172B4D"/>
                <w:sz w:val="20"/>
              </w:rPr>
              <w:t>الغرض</w:t>
            </w:r>
          </w:p>
        </w:tc>
        <w:tc>
          <w:tcPr>
            <w:tcW w:type="dxa" w:w="7416"/>
            <w:vAlign w:val="center"/>
          </w:tcPr>
          <w:p>
            <w:pPr>
              <w:spacing w:after="100" w:line="276" w:lineRule="auto"/>
              <w:jc w:val="right"/>
              <w:bidi w:val="1"/>
            </w:pPr>
            <w:r>
              <w:rPr>
                <w:rFonts w:ascii="Arial" w:hAnsi="Arial"/>
                <w:b w:val="0"/>
                <w:color w:val="172B4D"/>
                <w:sz w:val="20"/>
              </w:rPr>
              <w:t>كشف اختلالات التوازن أو النطاق أو العملة قبل أثرها المالي</w:t>
            </w:r>
          </w:p>
        </w:tc>
      </w:tr>
      <w:tr>
        <w:tc>
          <w:tcPr>
            <w:tcW w:type="dxa" w:w="1944"/>
            <w:vAlign w:val="center"/>
          </w:tcPr>
          <w:p>
            <w:pPr>
              <w:spacing w:after="100" w:line="276" w:lineRule="auto"/>
              <w:jc w:val="right"/>
              <w:bidi w:val="1"/>
            </w:pPr>
            <w:r>
              <w:rPr>
                <w:rFonts w:ascii="Arial" w:hAnsi="Arial"/>
                <w:b w:val="0"/>
                <w:color w:val="172B4D"/>
                <w:sz w:val="20"/>
              </w:rPr>
              <w:t>نمط الشاشة</w:t>
            </w:r>
          </w:p>
        </w:tc>
        <w:tc>
          <w:tcPr>
            <w:tcW w:type="dxa" w:w="7416"/>
            <w:vAlign w:val="center"/>
          </w:tcPr>
          <w:p>
            <w:pPr>
              <w:spacing w:after="100" w:line="276" w:lineRule="auto"/>
              <w:jc w:val="right"/>
              <w:bidi w:val="1"/>
            </w:pPr>
            <w:r>
              <w:rPr>
                <w:rFonts w:ascii="Arial" w:hAnsi="Arial"/>
                <w:b w:val="0"/>
                <w:color w:val="172B4D"/>
                <w:sz w:val="20"/>
              </w:rPr>
              <w:t>P003</w:t>
            </w:r>
          </w:p>
        </w:tc>
      </w:tr>
      <w:tr>
        <w:tc>
          <w:tcPr>
            <w:tcW w:type="dxa" w:w="1944"/>
            <w:vAlign w:val="center"/>
          </w:tcPr>
          <w:p>
            <w:pPr>
              <w:spacing w:after="100" w:line="276" w:lineRule="auto"/>
              <w:jc w:val="right"/>
              <w:bidi w:val="1"/>
            </w:pPr>
            <w:r>
              <w:rPr>
                <w:rFonts w:ascii="Arial" w:hAnsi="Arial"/>
                <w:b w:val="0"/>
                <w:color w:val="172B4D"/>
                <w:sz w:val="20"/>
              </w:rPr>
              <w:t>الفتح</w:t>
            </w:r>
          </w:p>
        </w:tc>
        <w:tc>
          <w:tcPr>
            <w:tcW w:type="dxa" w:w="7416"/>
            <w:vAlign w:val="center"/>
          </w:tcPr>
          <w:p>
            <w:pPr>
              <w:spacing w:after="100" w:line="276" w:lineRule="auto"/>
              <w:jc w:val="right"/>
              <w:bidi w:val="1"/>
            </w:pPr>
            <w:r>
              <w:rPr>
                <w:rFonts w:ascii="Arial" w:hAnsi="Arial"/>
                <w:b w:val="0"/>
                <w:color w:val="172B4D"/>
                <w:sz w:val="20"/>
              </w:rPr>
              <w:t>سجل محفوظ واحد فقط افتراضياً؛ المعاملات الجديدة تفتح كمسودات مستقلة.</w:t>
            </w:r>
          </w:p>
        </w:tc>
      </w:tr>
      <w:tr>
        <w:tc>
          <w:tcPr>
            <w:tcW w:type="dxa" w:w="1944"/>
            <w:vAlign w:val="center"/>
          </w:tcPr>
          <w:p>
            <w:pPr>
              <w:spacing w:after="100" w:line="276" w:lineRule="auto"/>
              <w:jc w:val="right"/>
              <w:bidi w:val="1"/>
            </w:pPr>
            <w:r>
              <w:rPr>
                <w:rFonts w:ascii="Arial" w:hAnsi="Arial"/>
                <w:b w:val="0"/>
                <w:color w:val="172B4D"/>
                <w:sz w:val="20"/>
              </w:rPr>
              <w:t>الصلاحيات</w:t>
            </w:r>
          </w:p>
        </w:tc>
        <w:tc>
          <w:tcPr>
            <w:tcW w:type="dxa" w:w="7416"/>
            <w:vAlign w:val="center"/>
          </w:tcPr>
          <w:p>
            <w:pPr>
              <w:spacing w:after="100" w:line="276" w:lineRule="auto"/>
              <w:jc w:val="right"/>
              <w:bidi w:val="1"/>
            </w:pPr>
            <w:r>
              <w:rPr>
                <w:rFonts w:ascii="Arial" w:hAnsi="Arial"/>
                <w:b w:val="0"/>
                <w:color w:val="172B4D"/>
                <w:sz w:val="20"/>
              </w:rPr>
              <w:t>وصول، عرض، جديد/تعديل/حفظ، حذف أو إلغاء، اعتماد/ترحيل، طباعة وتصدير بحسب الدور والنطاق.</w:t>
            </w:r>
          </w:p>
        </w:tc>
      </w:tr>
    </w:tbl>
    <w:p>
      <w:pPr>
        <w:pStyle w:val="Heading2"/>
        <w:spacing w:after="100" w:line="276" w:lineRule="auto"/>
        <w:jc w:val="right"/>
        <w:bidi w:val="1"/>
      </w:pPr>
      <w:r>
        <w:rPr>
          <w:rFonts w:ascii="Arial" w:hAnsi="Arial"/>
        </w:rPr>
        <w:t>الحقول وترتيبها</w:t>
      </w:r>
    </w:p>
    <w:p>
      <w:pPr>
        <w:spacing w:after="100" w:line="276" w:lineRule="auto"/>
        <w:jc w:val="right"/>
        <w:bidi w:val="1"/>
      </w:pPr>
      <w:r>
        <w:rPr>
          <w:rFonts w:ascii="Arial" w:hAnsi="Arial"/>
        </w:rPr>
        <w:t>تُعرض من اليمين إلى اليسار: من تاريخ، إلى تاريخ، السنة، الفرع، نوع الفحص، مستوى الخطورة، الحالة. الحقول الإلزامية تميّز بأصفر خفيف؛ حقول النظام والحالة للقراءة فقط بحسب دورة العمل.</w:t>
      </w:r>
    </w:p>
    <w:p>
      <w:pPr>
        <w:pStyle w:val="Heading2"/>
        <w:spacing w:after="100" w:line="276" w:lineRule="auto"/>
        <w:jc w:val="right"/>
        <w:bidi w:val="1"/>
      </w:pPr>
      <w:r>
        <w:rPr>
          <w:rFonts w:ascii="Arial" w:hAnsi="Arial"/>
        </w:rPr>
        <w:t>الحاويات والتصميم</w:t>
      </w:r>
    </w:p>
    <w:p>
      <w:pPr>
        <w:spacing w:after="100" w:line="276" w:lineRule="auto"/>
        <w:jc w:val="right"/>
        <w:bidi w:val="1"/>
      </w:pPr>
      <w:r>
        <w:rPr>
          <w:rFonts w:ascii="Arial" w:hAnsi="Arial"/>
        </w:rPr>
        <w:t>التركيب: C002 ← C003 ← C006/معايير التقرير ← النتائج ← C010 عند الحاجة. C001 وC013 وC014 وC015 وC016 من الإطار الرئيسي ولا يعاد رسمها داخل الشاشة.</w:t>
      </w:r>
    </w:p>
    <w:p>
      <w:pPr>
        <w:spacing w:after="100" w:line="276" w:lineRule="auto"/>
        <w:jc w:val="right"/>
        <w:bidi w:val="1"/>
      </w:pPr>
      <w:r>
        <w:rPr>
          <w:rFonts w:ascii="Arial" w:hAnsi="Arial"/>
        </w:rPr>
        <w:t>البحث والتصفية فوق النتائج: القاعدة/المستند/الخطورة/الوصف/الإجراء. جدول النتائج يعرض الأعمدة الموافقة ويحتوي فرزاً وتنقلاً أسفله.</w:t>
      </w:r>
    </w:p>
    <w:p>
      <w:pPr>
        <w:spacing w:after="100" w:line="276" w:lineRule="auto"/>
        <w:jc w:val="right"/>
        <w:bidi w:val="1"/>
      </w:pPr>
      <w:r>
        <w:rPr>
          <w:rFonts w:ascii="Arial" w:hAnsi="Arial"/>
        </w:rPr>
        <w:t>الأسفل: C011 يبيّن أنشئ بواسطة/تاريخ الإنشاء/آخر تعديل/الاعتماد. لا يُكرر فيه سياق الشركة أو الفرع أو السنة إلا إن كانت قيماً وظيفية يختارها المستخدم.</w:t>
      </w:r>
    </w:p>
    <w:p>
      <w:pPr>
        <w:pStyle w:val="Heading2"/>
        <w:spacing w:after="100" w:line="276" w:lineRule="auto"/>
        <w:jc w:val="right"/>
        <w:bidi w:val="1"/>
      </w:pPr>
      <w:r>
        <w:rPr>
          <w:rFonts w:ascii="Arial" w:hAnsi="Arial"/>
        </w:rPr>
        <w:t>الحالات ومعايير القبول</w:t>
      </w:r>
    </w:p>
    <w:p>
      <w:pPr>
        <w:spacing w:after="100" w:line="276" w:lineRule="auto"/>
        <w:jc w:val="right"/>
        <w:bidi w:val="1"/>
      </w:pPr>
      <w:r>
        <w:rPr>
          <w:rFonts w:ascii="Arial" w:hAnsi="Arial"/>
        </w:rPr>
        <w:t>• تحترم الشاشة اتجاه RTL وترتيب C003 من اليمين، ولا يظهر زر إغلاق في شريط الأدوات.</w:t>
      </w:r>
    </w:p>
    <w:p>
      <w:pPr>
        <w:spacing w:after="100" w:line="276" w:lineRule="auto"/>
        <w:jc w:val="right"/>
        <w:bidi w:val="1"/>
      </w:pPr>
      <w:r>
        <w:rPr>
          <w:rFonts w:ascii="Arial" w:hAnsi="Arial"/>
        </w:rPr>
        <w:t>• تخضع القراءة والإجراءات والحقول لنطاق الشركة والفرع والسنة والدور؛ التحقق الفعلي عند الخادم.</w:t>
      </w:r>
    </w:p>
    <w:p>
      <w:pPr>
        <w:spacing w:after="100" w:line="276" w:lineRule="auto"/>
        <w:jc w:val="right"/>
        <w:bidi w:val="1"/>
      </w:pPr>
      <w:r>
        <w:rPr>
          <w:rFonts w:ascii="Arial" w:hAnsi="Arial"/>
        </w:rPr>
        <w:t>• تظهر التحميل والفارغة والخطأ والمنع والنجاح والتأكيد برسائل موحدة دون كشف بيانات حساسة.</w:t>
      </w:r>
    </w:p>
    <w:p>
      <w:pPr>
        <w:spacing w:after="100" w:line="276" w:lineRule="auto"/>
        <w:jc w:val="right"/>
        <w:bidi w:val="1"/>
      </w:pPr>
      <w:r>
        <w:rPr>
          <w:rFonts w:ascii="Arial" w:hAnsi="Arial"/>
        </w:rPr>
        <w:t>• لا يولد رقم المستند من الواجهة ولا باستخدام MAX+1؛ الحفظ الأول الناجح فقط يحصل على رقم خادم ذري وقيد فريد.</w:t>
      </w:r>
    </w:p>
    <w:p>
      <w:pPr>
        <w:spacing w:after="100" w:line="276" w:lineRule="auto"/>
        <w:jc w:val="right"/>
        <w:bidi w:val="1"/>
      </w:pPr>
      <w:r>
        <w:rPr>
          <w:rFonts w:ascii="Arial" w:hAnsi="Arial"/>
        </w:rPr>
        <w:t>• عند وجود عملة أجنبية تظهر قيمة أجنبية وسعر صرف وقيمة محلية؛ العملة المحلية سعرها 1 وقيمتها الأجنبية 0.</w:t>
      </w:r>
    </w:p>
    <w:p>
      <w:pPr>
        <w:spacing w:after="100" w:line="276" w:lineRule="auto"/>
        <w:jc w:val="right"/>
        <w:bidi w:val="1"/>
      </w:pPr>
      <w:r>
        <w:rPr>
          <w:rFonts w:ascii="Arial" w:hAnsi="Arial"/>
        </w:rPr>
        <w:t>• الإلغاء/العكس/الإقفال/الاعتماد يحتاج صلاحية وتأكيداً وسبباً عند السياسة وسجل تدقيق.</w:t>
      </w:r>
    </w:p>
    <w:sectPr w:rsidR="00FC693F" w:rsidRPr="0006063C" w:rsidSect="00034616">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