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2C55"/>
          <w:sz w:val="44"/>
          <w:szCs w:val="44"/>
        </w:rPr>
        <w:t xml:space="preserve">WE PRESENT</w:t>
      </w:r>
    </w:p>
    <w:p>
      <w:pPr>
        <w:spacing w:after="260"/>
      </w:pPr>
      <w:r>
        <w:rPr>
          <w:rFonts w:ascii="Calibri" w:cs="Calibri" w:eastAsia="Calibri" w:hAnsi="Calibri"/>
          <w:color w:val="6E4FA3"/>
          <w:sz w:val="26"/>
          <w:szCs w:val="26"/>
        </w:rPr>
        <w:t xml:space="preserve">by COATI</w:t>
      </w:r>
    </w:p>
    <w:p>
      <w:pPr>
        <w:spacing w:after="60"/>
      </w:pPr>
      <w:r>
        <w:rPr>
          <w:rFonts w:ascii="Calibri" w:cs="Calibri" w:eastAsia="Calibri" w:hAnsi="Calibri"/>
          <w:b/>
          <w:bCs/>
          <w:color w:val="3E2C55"/>
          <w:sz w:val="30"/>
          <w:szCs w:val="30"/>
        </w:rPr>
        <w:t xml:space="preserve">Website Technical Specification</w:t>
      </w:r>
    </w:p>
    <w:p>
      <w:pPr>
        <w:spacing w:after="120" w:before="0" w:line="276"/>
      </w:pPr>
      <w:r>
        <w:rPr>
          <w:rFonts w:ascii="Calibri" w:cs="Calibri" w:eastAsia="Calibri" w:hAnsi="Calibri"/>
          <w:color w:val="6E4FA3"/>
          <w:sz w:val="22"/>
          <w:szCs w:val="22"/>
        </w:rPr>
        <w:t xml:space="preserve">Round 4: cases, audience split, tour programmes, inclusions revision and the consolidated build plan</w:t>
      </w:r>
    </w:p>
    <w:p>
      <w:pPr>
        <w:spacing w:after="120" w:before="0" w:line="276"/>
      </w:pPr>
      <w:r>
        <w:rPr>
          <w:rFonts w:ascii="Calibri" w:cs="Calibri" w:eastAsia="Calibri" w:hAnsi="Calibri"/>
          <w:b/>
          <w:bCs/>
          <w:color w:val="2B2338"/>
          <w:sz w:val="21"/>
          <w:szCs w:val="21"/>
        </w:rPr>
        <w:t xml:space="preserve">Version 2.1 - August 2026</w:t>
      </w:r>
    </w:p>
    <w:p>
      <w:pPr>
        <w:spacing w:after="260" w:before="0" w:line="276"/>
      </w:pPr>
      <w:r>
        <w:rPr>
          <w:rFonts w:ascii="Calibri" w:cs="Calibri" w:eastAsia="Calibri" w:hAnsi="Calibri"/>
          <w:color w:val="2B2338"/>
          <w:sz w:val="21"/>
          <w:szCs w:val="21"/>
        </w:rPr>
        <w:t xml:space="preserve">Prepared for: WePresent by COATI - COATI Global Sales Agency</w:t>
      </w:r>
    </w:p>
    <w:p>
      <w:pPr>
        <w:spacing w:after="220" w:before="0" w:line="276"/>
      </w:pPr>
      <w:r>
        <w:rPr>
          <w:rFonts w:ascii="Calibri" w:cs="Calibri" w:eastAsia="Calibri" w:hAnsi="Calibri"/>
          <w:b/>
          <w:bCs/>
          <w:color w:val="2B2338"/>
          <w:sz w:val="21"/>
          <w:szCs w:val="21"/>
        </w:rPr>
        <w:t xml:space="preserve">How to use this document. </w:t>
      </w:r>
      <w:r>
        <w:rPr>
          <w:rFonts w:ascii="Calibri" w:cs="Calibri" w:eastAsia="Calibri" w:hAnsi="Calibri"/>
          <w:color w:val="2B2338"/>
          <w:sz w:val="21"/>
          <w:szCs w:val="21"/>
        </w:rPr>
        <w:t xml:space="preserve">v2.1 supersedes v2.0 and carries forward everything still unbuilt from v1.9 (round 2) and v2.0 (round 3). It is the record of what the site will do and why. It is not the build document. </w:t>
      </w:r>
      <w:r>
        <w:rPr>
          <w:rFonts w:ascii="Calibri" w:cs="Calibri" w:eastAsia="Calibri" w:hAnsi="Calibri"/>
          <w:b/>
          <w:bCs/>
          <w:color w:val="2B2338"/>
          <w:sz w:val="21"/>
          <w:szCs w:val="21"/>
        </w:rPr>
        <w:t xml:space="preserve">BUILD-PLAN.md</w:t>
      </w:r>
      <w:r>
        <w:rPr>
          <w:rFonts w:ascii="Calibri" w:cs="Calibri" w:eastAsia="Calibri" w:hAnsi="Calibri"/>
          <w:color w:val="2B2338"/>
          <w:sz w:val="21"/>
          <w:szCs w:val="21"/>
        </w:rPr>
        <w:t xml:space="preserve"> in the repository is the execution document: the same scope broken into numbered, self-contained work orders with files, acceptance criteria and verification steps, written to be worked through one at a time. Hand over both together. Where the two differ, BUILD-PLAN.md is authoritative on implementation detail and this document is authoritative on intent and client-agreed content. Tags: NEW / CHANGED / FIX.</w:t>
      </w:r>
    </w:p>
    <w:p>
      <w:pPr>
        <w:pStyle w:val="Heading1"/>
        <w:spacing w:after="140" w:before="360"/>
      </w:pPr>
      <w:r>
        <w:rPr>
          <w:rFonts w:ascii="Calibri" w:cs="Calibri" w:eastAsia="Calibri" w:hAnsi="Calibri"/>
          <w:b/>
          <w:bCs/>
          <w:color w:val="3E2C55"/>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Field</w:t>
            </w:r>
          </w:p>
        </w:tc>
        <w:tc>
          <w:tcPr>
            <w:tcW w:type="dxa" w:w="756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Detail</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Document</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WePresent by COATI - Website Technical Specification</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Version</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2.1 - Round 4: cases, audience split, tour programmes, inclusions revision (supersedes v2.0)</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Repo state</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The repository reflects round 1 only. Round 2 (v1.9), round 3 (v2.0) and round 4 (this document) are all outstanding. BUILD-PLAN.md consolidates all three into one sequence.</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Execution document</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BUILD-PLAN.md at the repository root: 31 numbered work orders across 9 phases.</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Companion docs</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DESIGN.md (visual system), PRODUCT.md (product truth), CLAUDE.md (includes the Security section).</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Live review build</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playful-cassata-3c1ccf.netlify.app</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Prepared for</w:t>
            </w:r>
          </w:p>
        </w:tc>
        <w:tc>
          <w:tcPr>
            <w:tcW w:type="dxa" w:w="7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COATI Global Sales Agency (Russia and CIS market)</w:t>
            </w:r>
          </w:p>
        </w:tc>
      </w:tr>
    </w:tbl>
    <w:p>
      <w:pPr>
        <w:spacing w:after="160"/>
      </w:pPr>
    </w:p>
    <w:p>
      <w:pPr>
        <w:pStyle w:val="Heading1"/>
        <w:spacing w:after="140" w:before="360"/>
      </w:pPr>
      <w:r>
        <w:rPr>
          <w:rFonts w:ascii="Calibri" w:cs="Calibri" w:eastAsia="Calibri" w:hAnsi="Calibri"/>
          <w:b/>
          <w:bCs/>
          <w:color w:val="3E2C55"/>
          <w:sz w:val="30"/>
          <w:szCs w:val="30"/>
        </w:rPr>
        <w:t xml:space="preserve">Key changes in round 4</w:t>
      </w:r>
    </w:p>
    <w:p>
      <w:pPr>
        <w:pStyle w:val="Heading2"/>
        <w:spacing w:after="140" w:before="240"/>
      </w:pPr>
      <w:r>
        <w:rPr>
          <w:rFonts w:ascii="Calibri" w:cs="Calibri" w:eastAsia="Calibri" w:hAnsi="Calibri"/>
          <w:b/>
          <w:bCs/>
          <w:color w:val="6E4FA3"/>
          <w:sz w:val="25"/>
          <w:szCs w:val="25"/>
        </w:rPr>
        <w:t xml:space="preserve">Content and positioning</w:t>
      </w:r>
    </w:p>
    <w:p>
      <w:pPr>
        <w:pStyle w:val="ListParagraph"/>
        <w:numPr>
          <w:ilvl w:val="0"/>
          <w:numId w:val="2"/>
        </w:numPr>
        <w:spacing w:after="80" w:line="276"/>
      </w:pPr>
      <w:r>
        <w:rPr>
          <w:rFonts w:ascii="Calibri" w:cs="Calibri" w:eastAsia="Calibri" w:hAnsi="Calibri"/>
          <w:b/>
          <w:bCs/>
          <w:color w:val="1D7A55"/>
          <w:sz w:val="18"/>
          <w:szCs w:val="18"/>
        </w:rPr>
        <w:t xml:space="preserve">NEW  </w:t>
      </w:r>
      <w:r>
        <w:rPr>
          <w:rFonts w:ascii="Calibri" w:cs="Calibri" w:eastAsia="Calibri" w:hAnsi="Calibri"/>
          <w:color w:val="2B2338"/>
          <w:sz w:val="21"/>
          <w:szCs w:val="21"/>
        </w:rPr>
        <w:t xml:space="preserve">Cases section built out from three COATI presentations, presented as real results rather than description. Attribution agreed with the client: "Delivered by COATI, the team behind We Present." Section 2.</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The value section is split by audience. Participants and hotels, resorts and destinations each get their own block, preceded by a comparison against a traditional FAM trip. Section 1.</w:t>
      </w:r>
    </w:p>
    <w:p>
      <w:pPr>
        <w:pStyle w:val="ListParagraph"/>
        <w:numPr>
          <w:ilvl w:val="0"/>
          <w:numId w:val="2"/>
        </w:numPr>
        <w:spacing w:after="80" w:line="276"/>
      </w:pPr>
      <w:r>
        <w:rPr>
          <w:rFonts w:ascii="Calibri" w:cs="Calibri" w:eastAsia="Calibri" w:hAnsi="Calibri"/>
          <w:b/>
          <w:bCs/>
          <w:color w:val="B03030"/>
          <w:sz w:val="18"/>
          <w:szCs w:val="18"/>
        </w:rPr>
        <w:t xml:space="preserve">FIX  </w:t>
      </w:r>
      <w:r>
        <w:rPr>
          <w:rFonts w:ascii="Calibri" w:cs="Calibri" w:eastAsia="Calibri" w:hAnsi="Calibri"/>
          <w:color w:val="2B2338"/>
          <w:sz w:val="21"/>
          <w:szCs w:val="21"/>
        </w:rPr>
        <w:t xml:space="preserve">The phrase "everything is included, including flights" is factually wrong. International flights are arranged and paid for by participants. Section 4.3.</w:t>
      </w:r>
    </w:p>
    <w:p>
      <w:pPr>
        <w:pStyle w:val="Heading2"/>
        <w:spacing w:after="140" w:before="240"/>
      </w:pPr>
      <w:r>
        <w:rPr>
          <w:rFonts w:ascii="Calibri" w:cs="Calibri" w:eastAsia="Calibri" w:hAnsi="Calibri"/>
          <w:b/>
          <w:bCs/>
          <w:color w:val="6E4FA3"/>
          <w:sz w:val="25"/>
          <w:szCs w:val="25"/>
        </w:rPr>
        <w:t xml:space="preserve">Tour programmes</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Cinnamon tour name confirmed as "Cinnamon Maldives Resorts", scoped to four named properties, with 5-star and 4-star groups visually separated. Section 3.1.</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Oman is a destination programme, not a hotel tour. The destination is represented as a whole. Section 3.2.</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Kenya represents the Saruni Basecamp collection of 13 safari lodges, with selected lodges per itinerary. Section 3.3.</w:t>
      </w:r>
    </w:p>
    <w:p>
      <w:pPr>
        <w:pStyle w:val="ListParagraph"/>
        <w:numPr>
          <w:ilvl w:val="0"/>
          <w:numId w:val="2"/>
        </w:numPr>
        <w:spacing w:after="80" w:line="276"/>
      </w:pPr>
      <w:r>
        <w:rPr>
          <w:rFonts w:ascii="Calibri" w:cs="Calibri" w:eastAsia="Calibri" w:hAnsi="Calibri"/>
          <w:b/>
          <w:bCs/>
          <w:color w:val="1D7A55"/>
          <w:sz w:val="18"/>
          <w:szCs w:val="18"/>
        </w:rPr>
        <w:t xml:space="preserve">NEW  </w:t>
      </w:r>
      <w:r>
        <w:rPr>
          <w:rFonts w:ascii="Calibri" w:cs="Calibri" w:eastAsia="Calibri" w:hAnsi="Calibri"/>
          <w:color w:val="2B2338"/>
          <w:sz w:val="21"/>
          <w:szCs w:val="21"/>
        </w:rPr>
        <w:t xml:space="preserve">Each tour can carry a downloadable programme PDF, gated behind name and email. Section 5.</w:t>
      </w:r>
    </w:p>
    <w:p>
      <w:pPr>
        <w:pStyle w:val="Heading2"/>
        <w:spacing w:after="140" w:before="240"/>
      </w:pPr>
      <w:r>
        <w:rPr>
          <w:rFonts w:ascii="Calibri" w:cs="Calibri" w:eastAsia="Calibri" w:hAnsi="Calibri"/>
          <w:b/>
          <w:bCs/>
          <w:color w:val="6E4FA3"/>
          <w:sz w:val="25"/>
          <w:szCs w:val="25"/>
        </w:rPr>
        <w:t xml:space="preserve">Tour detail sections</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What’s Included reduced from five items to four: registration fee removed, and the meal plan replaced with a plain "Dining" label. Section 4.1.</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The on-site programme title becomes editable per tour, because "at every hotel" does not describe Oman or Kenya. Its layout is also simplified. Section 4.2.</w:t>
      </w:r>
    </w:p>
    <w:p>
      <w:pPr>
        <w:pStyle w:val="Heading2"/>
        <w:spacing w:after="140" w:before="240"/>
      </w:pPr>
      <w:r>
        <w:rPr>
          <w:rFonts w:ascii="Calibri" w:cs="Calibri" w:eastAsia="Calibri" w:hAnsi="Calibri"/>
          <w:b/>
          <w:bCs/>
          <w:color w:val="6E4FA3"/>
          <w:sz w:val="25"/>
          <w:szCs w:val="25"/>
        </w:rPr>
        <w:t xml:space="preserve">Contacts and imagery</w:t>
      </w:r>
    </w:p>
    <w:p>
      <w:pPr>
        <w:pStyle w:val="ListParagraph"/>
        <w:numPr>
          <w:ilvl w:val="0"/>
          <w:numId w:val="2"/>
        </w:numPr>
        <w:spacing w:after="80" w:line="276"/>
      </w:pPr>
      <w:r>
        <w:rPr>
          <w:rFonts w:ascii="Calibri" w:cs="Calibri" w:eastAsia="Calibri" w:hAnsi="Calibri"/>
          <w:b/>
          <w:bCs/>
          <w:color w:val="1D7A55"/>
          <w:sz w:val="18"/>
          <w:szCs w:val="18"/>
        </w:rPr>
        <w:t xml:space="preserve">NEW  </w:t>
      </w:r>
      <w:r>
        <w:rPr>
          <w:rFonts w:ascii="Calibri" w:cs="Calibri" w:eastAsia="Calibri" w:hAnsi="Calibri"/>
          <w:color w:val="2B2338"/>
          <w:sz w:val="21"/>
          <w:szCs w:val="21"/>
        </w:rPr>
        <w:t xml:space="preserve">LinkedIn showcase page and a working phone number added, the phone as click-to-chat. Section 6.</w:t>
      </w:r>
    </w:p>
    <w:p>
      <w:pPr>
        <w:pStyle w:val="ListParagraph"/>
        <w:numPr>
          <w:ilvl w:val="0"/>
          <w:numId w:val="2"/>
        </w:numPr>
        <w:spacing w:after="80" w:line="276"/>
      </w:pPr>
      <w:r>
        <w:rPr>
          <w:rFonts w:ascii="Calibri" w:cs="Calibri" w:eastAsia="Calibri" w:hAnsi="Calibri"/>
          <w:b/>
          <w:bCs/>
          <w:color w:val="6E4FA3"/>
          <w:sz w:val="18"/>
          <w:szCs w:val="18"/>
        </w:rPr>
        <w:t xml:space="preserve">CHANGED  </w:t>
      </w:r>
      <w:r>
        <w:rPr>
          <w:rFonts w:ascii="Calibri" w:cs="Calibri" w:eastAsia="Calibri" w:hAnsi="Calibri"/>
          <w:color w:val="2B2338"/>
          <w:sz w:val="21"/>
          <w:szCs w:val="21"/>
        </w:rPr>
        <w:t xml:space="preserve">The homepage image keeps the client’s chosen photograph but loses the purple overlay in favour of a colour grade. Section 7.</w:t>
      </w:r>
    </w:p>
    <w:p>
      <w:pPr>
        <w:pageBreakBefore/>
        <w:spacing w:after="0"/>
      </w:pPr>
    </w:p>
    <w:p>
      <w:pPr>
        <w:pStyle w:val="Heading1"/>
        <w:spacing w:after="140" w:before="360"/>
      </w:pPr>
      <w:r>
        <w:rPr>
          <w:rFonts w:ascii="Calibri" w:cs="Calibri" w:eastAsia="Calibri" w:hAnsi="Calibri"/>
          <w:b/>
          <w:bCs/>
          <w:color w:val="3E2C55"/>
          <w:sz w:val="30"/>
          <w:szCs w:val="30"/>
        </w:rPr>
        <w:t xml:space="preserve">1. Positioning and the audience split</w:t>
      </w:r>
    </w:p>
    <w:p>
      <w:pPr>
        <w:spacing w:after="120" w:before="0" w:line="276"/>
      </w:pPr>
      <w:r>
        <w:rPr>
          <w:rFonts w:ascii="Calibri" w:cs="Calibri" w:eastAsia="Calibri" w:hAnsi="Calibri"/>
          <w:color w:val="2B2338"/>
          <w:sz w:val="21"/>
          <w:szCs w:val="21"/>
        </w:rPr>
        <w:t xml:space="preserve">The client’s central point in this round is that the website does not yet explain, quickly enough, why We Present differs from a traditional familiarisation trip, or what each audience gets from it. Both audiences are currently mixed into a single block.</w:t>
      </w:r>
    </w:p>
    <w:p>
      <w:pPr>
        <w:pStyle w:val="Heading2"/>
        <w:spacing w:after="140" w:before="240"/>
      </w:pPr>
      <w:r>
        <w:rPr>
          <w:rFonts w:ascii="Calibri" w:cs="Calibri" w:eastAsia="Calibri" w:hAnsi="Calibri"/>
          <w:b/>
          <w:bCs/>
          <w:color w:val="6E4FA3"/>
          <w:sz w:val="25"/>
          <w:szCs w:val="25"/>
        </w:rPr>
        <w:t xml:space="preserve">1.1 What makes We Present different</w:t>
      </w:r>
    </w:p>
    <w:p>
      <w:pPr>
        <w:spacing w:after="120" w:before="0" w:line="276"/>
      </w:pPr>
      <w:r>
        <w:rPr>
          <w:rFonts w:ascii="Calibri" w:cs="Calibri" w:eastAsia="Calibri" w:hAnsi="Calibri"/>
          <w:color w:val="2B2338"/>
          <w:sz w:val="21"/>
          <w:szCs w:val="21"/>
        </w:rPr>
        <w:t xml:space="preserve">This becomes the lead statement, followed by a direct comparison table. It is the strongest differentiator available and it belongs above the audience blocks, on both the homepage and About.</w:t>
      </w:r>
    </w:p>
    <w:p>
      <w:pPr>
        <w:spacing w:after="120" w:before="0" w:line="276"/>
      </w:pPr>
      <w:r>
        <w:rPr>
          <w:rFonts w:ascii="Calibri" w:cs="Calibri" w:eastAsia="Calibri" w:hAnsi="Calibri"/>
          <w:color w:val="2B2338"/>
          <w:sz w:val="21"/>
          <w:szCs w:val="21"/>
        </w:rPr>
        <w:t xml:space="preserve">We Present is not a traditional FAM trip. Where a traditional FAM trip moves participants through many hotels and locations in a short period and leaves them with a general impression, We Present focuses on deep product knowledge, destination immersion, meaningful professional experience, long-term cooperation and measurable results. Participants do not simply visit hotels or destinations. They experience them, and understand their concept, values and unique advantages.</w:t>
      </w:r>
    </w:p>
    <w:p>
      <w:pPr>
        <w:spacing w:after="120" w:before="0" w:line="276"/>
      </w:pPr>
      <w:r>
        <w:rPr>
          <w:rFonts w:ascii="Calibri" w:cs="Calibri" w:eastAsia="Calibri" w:hAnsi="Calibri"/>
          <w:color w:val="2B2338"/>
          <w:sz w:val="21"/>
          <w:szCs w:val="21"/>
        </w:rPr>
        <w:t xml:space="preserve">Depending on the participant profile, outcomes can include increased sales and new business partnerships, media publications and articles, social media content, photo and video materials, TV and digital coverage, and destination promotion through professional networks and audiences.</w:t>
      </w:r>
    </w:p>
    <w:p>
      <w:pPr>
        <w:pStyle w:val="Heading2"/>
        <w:spacing w:after="140" w:before="240"/>
      </w:pPr>
      <w:r>
        <w:rPr>
          <w:rFonts w:ascii="Calibri" w:cs="Calibri" w:eastAsia="Calibri" w:hAnsi="Calibri"/>
          <w:b/>
          <w:bCs/>
          <w:color w:val="6E4FA3"/>
          <w:sz w:val="25"/>
          <w:szCs w:val="25"/>
        </w:rPr>
        <w:t xml:space="preserve">1.2 For participants</w:t>
      </w:r>
    </w:p>
    <w:p>
      <w:pPr>
        <w:spacing w:after="120" w:before="0" w:line="276"/>
      </w:pPr>
      <w:r>
        <w:rPr>
          <w:rFonts w:ascii="Calibri" w:cs="Calibri" w:eastAsia="Calibri" w:hAnsi="Calibri"/>
          <w:b/>
          <w:bCs/>
          <w:color w:val="2B2338"/>
          <w:sz w:val="21"/>
          <w:szCs w:val="21"/>
        </w:rPr>
        <w:t xml:space="preserve">Main message: </w:t>
      </w:r>
      <w:r>
        <w:rPr>
          <w:rFonts w:ascii="Calibri" w:cs="Calibri" w:eastAsia="Calibri" w:hAnsi="Calibri"/>
          <w:i/>
          <w:iCs/>
          <w:color w:val="2B2338"/>
          <w:sz w:val="21"/>
          <w:szCs w:val="21"/>
        </w:rPr>
        <w:t xml:space="preserve">deep immersion into the product and destination through a unique professional experience.</w:t>
      </w:r>
    </w:p>
    <w:p>
      <w:pPr>
        <w:pStyle w:val="ListParagraph"/>
        <w:numPr>
          <w:ilvl w:val="0"/>
          <w:numId w:val="2"/>
        </w:numPr>
        <w:spacing w:after="80" w:line="276"/>
      </w:pPr>
      <w:r>
        <w:rPr>
          <w:rFonts w:ascii="Calibri" w:cs="Calibri" w:eastAsia="Calibri" w:hAnsi="Calibri"/>
          <w:color w:val="2B2338"/>
          <w:sz w:val="21"/>
          <w:szCs w:val="21"/>
        </w:rPr>
        <w:t xml:space="preserve">Direct communication with hotel representatives, resort teams, tourism boards and local partners.</w:t>
      </w:r>
    </w:p>
    <w:p>
      <w:pPr>
        <w:pStyle w:val="ListParagraph"/>
        <w:numPr>
          <w:ilvl w:val="0"/>
          <w:numId w:val="2"/>
        </w:numPr>
        <w:spacing w:after="80" w:line="276"/>
      </w:pPr>
      <w:r>
        <w:rPr>
          <w:rFonts w:ascii="Calibri" w:cs="Calibri" w:eastAsia="Calibri" w:hAnsi="Calibri"/>
          <w:color w:val="2B2338"/>
          <w:sz w:val="21"/>
          <w:szCs w:val="21"/>
        </w:rPr>
        <w:t xml:space="preserve">Deep understanding of each product and destination, instead of a short visit to many locations.</w:t>
      </w:r>
    </w:p>
    <w:p>
      <w:pPr>
        <w:pStyle w:val="ListParagraph"/>
        <w:numPr>
          <w:ilvl w:val="0"/>
          <w:numId w:val="2"/>
        </w:numPr>
        <w:spacing w:after="80" w:line="276"/>
      </w:pPr>
      <w:r>
        <w:rPr>
          <w:rFonts w:ascii="Calibri" w:cs="Calibri" w:eastAsia="Calibri" w:hAnsi="Calibri"/>
          <w:color w:val="2B2338"/>
          <w:sz w:val="21"/>
          <w:szCs w:val="21"/>
        </w:rPr>
        <w:t xml:space="preserve">More time to explore the concept, values, unique selling points and potential of each partner.</w:t>
      </w:r>
    </w:p>
    <w:p>
      <w:pPr>
        <w:pStyle w:val="ListParagraph"/>
        <w:numPr>
          <w:ilvl w:val="0"/>
          <w:numId w:val="2"/>
        </w:numPr>
        <w:spacing w:after="80" w:line="276"/>
      </w:pPr>
      <w:r>
        <w:rPr>
          <w:rFonts w:ascii="Calibri" w:cs="Calibri" w:eastAsia="Calibri" w:hAnsi="Calibri"/>
          <w:color w:val="2B2338"/>
          <w:sz w:val="21"/>
          <w:szCs w:val="21"/>
        </w:rPr>
        <w:t xml:space="preserve">Experiencing the destination, not just visiting it.</w:t>
      </w:r>
    </w:p>
    <w:p>
      <w:pPr>
        <w:pStyle w:val="ListParagraph"/>
        <w:numPr>
          <w:ilvl w:val="0"/>
          <w:numId w:val="2"/>
        </w:numPr>
        <w:spacing w:after="80" w:line="276"/>
      </w:pPr>
      <w:r>
        <w:rPr>
          <w:rFonts w:ascii="Calibri" w:cs="Calibri" w:eastAsia="Calibri" w:hAnsi="Calibri"/>
          <w:color w:val="2B2338"/>
          <w:sz w:val="21"/>
          <w:szCs w:val="21"/>
        </w:rPr>
        <w:t xml:space="preserve">Preparation before the trip: participants receive information and understand the goals of the project.</w:t>
      </w:r>
    </w:p>
    <w:p>
      <w:pPr>
        <w:pStyle w:val="ListParagraph"/>
        <w:numPr>
          <w:ilvl w:val="0"/>
          <w:numId w:val="2"/>
        </w:numPr>
        <w:spacing w:after="80" w:line="276"/>
      </w:pPr>
      <w:r>
        <w:rPr>
          <w:rFonts w:ascii="Calibri" w:cs="Calibri" w:eastAsia="Calibri" w:hAnsi="Calibri"/>
          <w:color w:val="2B2338"/>
          <w:sz w:val="21"/>
          <w:szCs w:val="21"/>
        </w:rPr>
        <w:t xml:space="preserve">Professional meetings, workshops and brainstorming sessions.</w:t>
      </w:r>
    </w:p>
    <w:p>
      <w:pPr>
        <w:pStyle w:val="ListParagraph"/>
        <w:numPr>
          <w:ilvl w:val="0"/>
          <w:numId w:val="2"/>
        </w:numPr>
        <w:spacing w:after="80" w:line="276"/>
      </w:pPr>
      <w:r>
        <w:rPr>
          <w:rFonts w:ascii="Calibri" w:cs="Calibri" w:eastAsia="Calibri" w:hAnsi="Calibri"/>
          <w:color w:val="2B2338"/>
          <w:sz w:val="21"/>
          <w:szCs w:val="21"/>
        </w:rPr>
        <w:t xml:space="preserve">Opportunities to create new ideas, content and promotion strategies.</w:t>
      </w:r>
    </w:p>
    <w:p>
      <w:pPr>
        <w:pStyle w:val="ListParagraph"/>
        <w:numPr>
          <w:ilvl w:val="0"/>
          <w:numId w:val="2"/>
        </w:numPr>
        <w:spacing w:after="80" w:line="276"/>
      </w:pPr>
      <w:r>
        <w:rPr>
          <w:rFonts w:ascii="Calibri" w:cs="Calibri" w:eastAsia="Calibri" w:hAnsi="Calibri"/>
          <w:color w:val="2B2338"/>
          <w:sz w:val="21"/>
          <w:szCs w:val="21"/>
        </w:rPr>
        <w:t xml:space="preserve">Building new professional connections and long-term partnerships.</w:t>
      </w:r>
    </w:p>
    <w:p>
      <w:pPr>
        <w:spacing w:after="120" w:before="0" w:line="276"/>
      </w:pPr>
      <w:r>
        <w:rPr>
          <w:rFonts w:ascii="Calibri" w:cs="Calibri" w:eastAsia="Calibri" w:hAnsi="Calibri"/>
          <w:b/>
          <w:bCs/>
          <w:color w:val="2B2338"/>
          <w:sz w:val="21"/>
          <w:szCs w:val="21"/>
        </w:rPr>
        <w:t xml:space="preserve">Key message: </w:t>
      </w:r>
      <w:r>
        <w:rPr>
          <w:rFonts w:ascii="Calibri" w:cs="Calibri" w:eastAsia="Calibri" w:hAnsi="Calibri"/>
          <w:i/>
          <w:iCs/>
          <w:color w:val="2B2338"/>
          <w:sz w:val="21"/>
          <w:szCs w:val="21"/>
        </w:rPr>
        <w:t xml:space="preserve">participants do not simply visit a destination. They experience it, understand it, and return with knowledge, inspiration and the tools to promote it effectively to their audience and clients.</w:t>
      </w:r>
    </w:p>
    <w:p>
      <w:pPr>
        <w:pStyle w:val="Heading2"/>
        <w:spacing w:after="140" w:before="240"/>
      </w:pPr>
      <w:r>
        <w:rPr>
          <w:rFonts w:ascii="Calibri" w:cs="Calibri" w:eastAsia="Calibri" w:hAnsi="Calibri"/>
          <w:b/>
          <w:bCs/>
          <w:color w:val="6E4FA3"/>
          <w:sz w:val="25"/>
          <w:szCs w:val="25"/>
        </w:rPr>
        <w:t xml:space="preserve">1.3 For hotels, resorts and destinations</w:t>
      </w:r>
    </w:p>
    <w:p>
      <w:pPr>
        <w:spacing w:after="120" w:before="0" w:line="276"/>
      </w:pPr>
      <w:r>
        <w:rPr>
          <w:rFonts w:ascii="Calibri" w:cs="Calibri" w:eastAsia="Calibri" w:hAnsi="Calibri"/>
          <w:b/>
          <w:bCs/>
          <w:color w:val="2B2338"/>
          <w:sz w:val="21"/>
          <w:szCs w:val="21"/>
        </w:rPr>
        <w:t xml:space="preserve">Main message: </w:t>
      </w:r>
      <w:r>
        <w:rPr>
          <w:rFonts w:ascii="Calibri" w:cs="Calibri" w:eastAsia="Calibri" w:hAnsi="Calibri"/>
          <w:i/>
          <w:iCs/>
          <w:color w:val="2B2338"/>
          <w:sz w:val="21"/>
          <w:szCs w:val="21"/>
        </w:rPr>
        <w:t xml:space="preserve">not just exposure. Guaranteed promotion, quality content and measurable business results.</w:t>
      </w:r>
    </w:p>
    <w:p>
      <w:pPr>
        <w:pStyle w:val="ListParagraph"/>
        <w:numPr>
          <w:ilvl w:val="0"/>
          <w:numId w:val="2"/>
        </w:numPr>
        <w:spacing w:after="80" w:line="276"/>
      </w:pPr>
      <w:r>
        <w:rPr>
          <w:rFonts w:ascii="Calibri" w:cs="Calibri" w:eastAsia="Calibri" w:hAnsi="Calibri"/>
          <w:color w:val="2B2338"/>
          <w:sz w:val="21"/>
          <w:szCs w:val="21"/>
        </w:rPr>
        <w:t xml:space="preserve">We Present is not only a familiarisation trip. It is a professional promotion platform focused on real results.</w:t>
      </w:r>
    </w:p>
    <w:p>
      <w:pPr>
        <w:pStyle w:val="ListParagraph"/>
        <w:numPr>
          <w:ilvl w:val="0"/>
          <w:numId w:val="2"/>
        </w:numPr>
        <w:spacing w:after="80" w:line="276"/>
      </w:pPr>
      <w:r>
        <w:rPr>
          <w:rFonts w:ascii="Calibri" w:cs="Calibri" w:eastAsia="Calibri" w:hAnsi="Calibri"/>
          <w:color w:val="2B2338"/>
          <w:sz w:val="21"/>
          <w:szCs w:val="21"/>
        </w:rPr>
        <w:t xml:space="preserve">Each partner receives an individual approach and promotion strategy.</w:t>
      </w:r>
    </w:p>
    <w:p>
      <w:pPr>
        <w:pStyle w:val="ListParagraph"/>
        <w:numPr>
          <w:ilvl w:val="0"/>
          <w:numId w:val="2"/>
        </w:numPr>
        <w:spacing w:after="80" w:line="276"/>
      </w:pPr>
      <w:r>
        <w:rPr>
          <w:rFonts w:ascii="Calibri" w:cs="Calibri" w:eastAsia="Calibri" w:hAnsi="Calibri"/>
          <w:color w:val="2B2338"/>
          <w:sz w:val="21"/>
          <w:szCs w:val="21"/>
        </w:rPr>
        <w:t xml:space="preserve">Cooperation starts before the trip: goals, positioning and promotion opportunities are discussed in advance.</w:t>
      </w:r>
    </w:p>
    <w:p>
      <w:pPr>
        <w:pStyle w:val="ListParagraph"/>
        <w:numPr>
          <w:ilvl w:val="0"/>
          <w:numId w:val="2"/>
        </w:numPr>
        <w:spacing w:after="80" w:line="276"/>
      </w:pPr>
      <w:r>
        <w:rPr>
          <w:rFonts w:ascii="Calibri" w:cs="Calibri" w:eastAsia="Calibri" w:hAnsi="Calibri"/>
          <w:color w:val="2B2338"/>
          <w:sz w:val="21"/>
          <w:szCs w:val="21"/>
        </w:rPr>
        <w:t xml:space="preserve">Participants arrive prepared, already understanding the product, its values and advantages.</w:t>
      </w:r>
    </w:p>
    <w:p>
      <w:pPr>
        <w:pStyle w:val="ListParagraph"/>
        <w:numPr>
          <w:ilvl w:val="0"/>
          <w:numId w:val="2"/>
        </w:numPr>
        <w:spacing w:after="80" w:line="276"/>
      </w:pPr>
      <w:r>
        <w:rPr>
          <w:rFonts w:ascii="Calibri" w:cs="Calibri" w:eastAsia="Calibri" w:hAnsi="Calibri"/>
          <w:color w:val="2B2338"/>
          <w:sz w:val="21"/>
          <w:szCs w:val="21"/>
        </w:rPr>
        <w:t xml:space="preserve">The programme includes professional discussions, workshops and brainstorming sessions.</w:t>
      </w:r>
    </w:p>
    <w:p>
      <w:pPr>
        <w:pStyle w:val="ListParagraph"/>
        <w:numPr>
          <w:ilvl w:val="0"/>
          <w:numId w:val="2"/>
        </w:numPr>
        <w:spacing w:after="80" w:line="276"/>
      </w:pPr>
      <w:r>
        <w:rPr>
          <w:rFonts w:ascii="Calibri" w:cs="Calibri" w:eastAsia="Calibri" w:hAnsi="Calibri"/>
          <w:color w:val="2B2338"/>
          <w:sz w:val="21"/>
          <w:szCs w:val="21"/>
        </w:rPr>
        <w:t xml:space="preserve">Partners receive deeper product awareness among participants.</w:t>
      </w:r>
    </w:p>
    <w:p>
      <w:pPr>
        <w:spacing w:after="120" w:before="0" w:line="276"/>
      </w:pPr>
      <w:r>
        <w:rPr>
          <w:rFonts w:ascii="Calibri" w:cs="Calibri" w:eastAsia="Calibri" w:hAnsi="Calibri"/>
          <w:color w:val="2B2338"/>
          <w:sz w:val="21"/>
          <w:szCs w:val="21"/>
        </w:rPr>
        <w:t xml:space="preserve">Partners receive not only a visit, but professional promotion through selected participants, media visibility and content creation, articles, reviews and publications, social media exposure, photo and video materials, stronger brand awareness, and sales opportunities and long-term partnerships.</w:t>
      </w:r>
    </w:p>
    <w:p>
      <w:pPr>
        <w:spacing w:after="120" w:before="0" w:line="276"/>
      </w:pPr>
      <w:r>
        <w:rPr>
          <w:rFonts w:ascii="Calibri" w:cs="Calibri" w:eastAsia="Calibri" w:hAnsi="Calibri"/>
          <w:b/>
          <w:bCs/>
          <w:color w:val="2B2338"/>
          <w:sz w:val="21"/>
          <w:szCs w:val="21"/>
        </w:rPr>
        <w:t xml:space="preserve">Key message: </w:t>
      </w:r>
      <w:r>
        <w:rPr>
          <w:rFonts w:ascii="Calibri" w:cs="Calibri" w:eastAsia="Calibri" w:hAnsi="Calibri"/>
          <w:i/>
          <w:iCs/>
          <w:color w:val="2B2338"/>
          <w:sz w:val="21"/>
          <w:szCs w:val="21"/>
        </w:rPr>
        <w:t xml:space="preserve">hotels and destinations receive more than a traditional FAM trip. They receive a structured promotion process, professional content, qualified partners and measurable business results.</w:t>
      </w:r>
    </w:p>
    <w:p>
      <w:pPr>
        <w:pStyle w:val="Heading2"/>
        <w:spacing w:after="140" w:before="240"/>
      </w:pPr>
      <w:r>
        <w:rPr>
          <w:rFonts w:ascii="Calibri" w:cs="Calibri" w:eastAsia="Calibri" w:hAnsi="Calibri"/>
          <w:b/>
          <w:bCs/>
          <w:color w:val="6E4FA3"/>
          <w:sz w:val="25"/>
          <w:szCs w:val="25"/>
        </w:rPr>
        <w:t xml:space="preserve">1.4 Design decision: two blocks, not a toggle</w:t>
      </w:r>
    </w:p>
    <w:p>
      <w:pPr>
        <w:spacing w:after="120" w:before="0" w:line="276"/>
      </w:pPr>
      <w:r>
        <w:rPr>
          <w:rFonts w:ascii="Calibri" w:cs="Calibri" w:eastAsia="Calibri" w:hAnsi="Calibri"/>
          <w:color w:val="2B2338"/>
          <w:sz w:val="21"/>
          <w:szCs w:val="21"/>
        </w:rPr>
        <w:t xml:space="preserve">An audience toggle was considered and rejected. On a B2B site both audiences need to see the other half of the proposition: hotels invest because the participants are qualified, and participants are attracted because the partners are invested. A toggle hides the proof from whichever audience is reading. The two blocks are therefore both visible to a scanning visitor, differentiated by background tint rather than by interaction.</w:t>
      </w:r>
    </w:p>
    <w:p>
      <w:pPr>
        <w:spacing w:after="120" w:before="0" w:line="276"/>
      </w:pPr>
      <w:r>
        <w:rPr>
          <w:rFonts w:ascii="Calibri" w:cs="Calibri" w:eastAsia="Calibri" w:hAnsi="Calibri"/>
          <w:b/>
          <w:bCs/>
          <w:color w:val="2B2338"/>
          <w:sz w:val="21"/>
          <w:szCs w:val="21"/>
        </w:rPr>
        <w:t xml:space="preserve">Note on scope. </w:t>
      </w:r>
      <w:r>
        <w:rPr>
          <w:rFonts w:ascii="Calibri" w:cs="Calibri" w:eastAsia="Calibri" w:hAnsi="Calibri"/>
          <w:color w:val="2B2338"/>
          <w:sz w:val="21"/>
          <w:szCs w:val="21"/>
        </w:rPr>
        <w:t xml:space="preserve">The client supplied a detailed participant-profile list (travel agents, tour operators, journalists, bloggers, photographers, content creators, TV representatives). This is internal reference and is not published on the site. The audience label remains "For participants".</w:t>
      </w:r>
    </w:p>
    <w:p>
      <w:pPr>
        <w:pageBreakBefore/>
        <w:spacing w:after="0"/>
      </w:pPr>
    </w:p>
    <w:p>
      <w:pPr>
        <w:pStyle w:val="Heading1"/>
        <w:spacing w:after="140" w:before="360"/>
      </w:pPr>
      <w:r>
        <w:rPr>
          <w:rFonts w:ascii="Calibri" w:cs="Calibri" w:eastAsia="Calibri" w:hAnsi="Calibri"/>
          <w:b/>
          <w:bCs/>
          <w:color w:val="3E2C55"/>
          <w:sz w:val="30"/>
          <w:szCs w:val="30"/>
        </w:rPr>
        <w:t xml:space="preserve">2. Cases</w:t>
      </w:r>
    </w:p>
    <w:p>
      <w:pPr>
        <w:spacing w:after="120" w:before="0" w:line="276"/>
      </w:pPr>
      <w:r>
        <w:rPr>
          <w:rFonts w:ascii="Calibri" w:cs="Calibri" w:eastAsia="Calibri" w:hAnsi="Calibri"/>
          <w:color w:val="2B2338"/>
          <w:sz w:val="21"/>
          <w:szCs w:val="21"/>
        </w:rPr>
        <w:t xml:space="preserve">The client asked for real project cases with concrete results rather than descriptions, sourced from three existing COATI presentations: the company presentation, the PR and media opportunities presentation, and the sales and marketing opportunities presentation.</w:t>
      </w:r>
    </w:p>
    <w:p>
      <w:pPr>
        <w:pStyle w:val="Heading2"/>
        <w:spacing w:after="140" w:before="240"/>
      </w:pPr>
      <w:r>
        <w:rPr>
          <w:rFonts w:ascii="Calibri" w:cs="Calibri" w:eastAsia="Calibri" w:hAnsi="Calibri"/>
          <w:b/>
          <w:bCs/>
          <w:color w:val="6E4FA3"/>
          <w:sz w:val="25"/>
          <w:szCs w:val="25"/>
        </w:rPr>
        <w:t xml:space="preserve">2.1 Attribution and scope</w:t>
      </w:r>
    </w:p>
    <w:p>
      <w:pPr>
        <w:spacing w:after="120" w:before="0" w:line="276"/>
      </w:pPr>
      <w:r>
        <w:rPr>
          <w:rFonts w:ascii="Calibri" w:cs="Calibri" w:eastAsia="Calibri" w:hAnsi="Calibri"/>
          <w:b/>
          <w:bCs/>
          <w:color w:val="2B2338"/>
          <w:sz w:val="21"/>
          <w:szCs w:val="21"/>
        </w:rPr>
        <w:t xml:space="preserve">Every case carries the line "Delivered by COATI, the team behind We Present." </w:t>
      </w:r>
      <w:r>
        <w:rPr>
          <w:rFonts w:ascii="Calibri" w:cs="Calibri" w:eastAsia="Calibri" w:hAnsi="Calibri"/>
          <w:color w:val="2B2338"/>
          <w:sz w:val="21"/>
          <w:szCs w:val="21"/>
        </w:rPr>
        <w:t xml:space="preserve">These are COATI results, not We Present results, and the site must not present them as the latter. The client has confirmed permission to name the partners and publish the figures.</w:t>
      </w:r>
    </w:p>
    <w:p>
      <w:pPr>
        <w:spacing w:after="120" w:before="0" w:line="276"/>
      </w:pPr>
      <w:r>
        <w:rPr>
          <w:rFonts w:ascii="Calibri" w:cs="Calibri" w:eastAsia="Calibri" w:hAnsi="Calibri"/>
          <w:b/>
          <w:bCs/>
          <w:color w:val="2B2338"/>
          <w:sz w:val="21"/>
          <w:szCs w:val="21"/>
        </w:rPr>
        <w:t xml:space="preserve">Critical content filter. </w:t>
      </w:r>
      <w:r>
        <w:rPr>
          <w:rFonts w:ascii="Calibri" w:cs="Calibri" w:eastAsia="Calibri" w:hAnsi="Calibri"/>
          <w:color w:val="2B2338"/>
          <w:sz w:val="21"/>
          <w:szCs w:val="21"/>
        </w:rPr>
        <w:t xml:space="preserve">The source decks mix delivered work with sales proposals, and the PR deck is a template written around a sample client. Only material from the "Examples of our previous successful" slides and the company deck’s "Real numbers" and "Real facts" slides may be published. Award packages, influencer shortlists and magazine barter terms are pitches and must not appear on the site.</w:t>
      </w:r>
    </w:p>
    <w:p>
      <w:pPr>
        <w:spacing w:after="120" w:before="0" w:line="276"/>
      </w:pPr>
      <w:r>
        <w:rPr>
          <w:rFonts w:ascii="Calibri" w:cs="Calibri" w:eastAsia="Calibri" w:hAnsi="Calibri"/>
          <w:color w:val="2B2338"/>
          <w:sz w:val="21"/>
          <w:szCs w:val="21"/>
        </w:rPr>
        <w:t xml:space="preserve">Two further handling rules: revenue figures were redacted in the source material, so only room nights and percentages are published; and the partner emails from Sheraton and Holiday Inn Kandooma are paraphrased rather than quoted verbatim.</w:t>
      </w:r>
    </w:p>
    <w:p>
      <w:pPr>
        <w:pStyle w:val="Heading2"/>
        <w:spacing w:after="140" w:before="240"/>
      </w:pPr>
      <w:r>
        <w:rPr>
          <w:rFonts w:ascii="Calibri" w:cs="Calibri" w:eastAsia="Calibri" w:hAnsi="Calibri"/>
          <w:b/>
          <w:bCs/>
          <w:color w:val="6E4FA3"/>
          <w:sz w:val="25"/>
          <w:szCs w:val="25"/>
        </w:rPr>
        <w:t xml:space="preserve">2.2 Structure</w:t>
      </w:r>
    </w:p>
    <w:p>
      <w:pPr>
        <w:spacing w:after="120" w:before="0" w:line="276"/>
      </w:pPr>
      <w:r>
        <w:rPr>
          <w:rFonts w:ascii="Calibri" w:cs="Calibri" w:eastAsia="Calibri" w:hAnsi="Calibri"/>
          <w:color w:val="2B2338"/>
          <w:sz w:val="21"/>
          <w:szCs w:val="21"/>
        </w:rPr>
        <w:t xml:space="preserve">Three layers, deliberately separated so the index stays clean and the detail has somewhere to live.</w:t>
      </w:r>
    </w:p>
    <w:p>
      <w:pPr>
        <w:pStyle w:val="ListParagraph"/>
        <w:numPr>
          <w:ilvl w:val="0"/>
          <w:numId w:val="2"/>
        </w:numPr>
        <w:spacing w:after="80" w:line="276"/>
      </w:pPr>
      <w:r>
        <w:rPr>
          <w:rFonts w:ascii="Calibri" w:cs="Calibri" w:eastAsia="Calibri" w:hAnsi="Calibri"/>
          <w:b/>
          <w:bCs/>
          <w:color w:val="2B2338"/>
          <w:sz w:val="21"/>
          <w:szCs w:val="21"/>
        </w:rPr>
        <w:t xml:space="preserve">Stat rail. </w:t>
      </w:r>
      <w:r>
        <w:rPr>
          <w:rFonts w:ascii="Calibri" w:cs="Calibri" w:eastAsia="Calibri" w:hAnsi="Calibri"/>
          <w:color w:val="2B2338"/>
          <w:sz w:val="21"/>
          <w:szCs w:val="21"/>
        </w:rPr>
        <w:t xml:space="preserve">Exactly three figures, set as large display typography rather than as stat widgets, counting up once on scroll. Three is the ceiling: beyond that each number loses impact.</w:t>
      </w:r>
    </w:p>
    <w:p>
      <w:pPr>
        <w:pStyle w:val="ListParagraph"/>
        <w:numPr>
          <w:ilvl w:val="0"/>
          <w:numId w:val="2"/>
        </w:numPr>
        <w:spacing w:after="80" w:line="276"/>
      </w:pPr>
      <w:r>
        <w:rPr>
          <w:rFonts w:ascii="Calibri" w:cs="Calibri" w:eastAsia="Calibri" w:hAnsi="Calibri"/>
          <w:b/>
          <w:bCs/>
          <w:color w:val="2B2338"/>
          <w:sz w:val="21"/>
          <w:szCs w:val="21"/>
        </w:rPr>
        <w:t xml:space="preserve">Case index. </w:t>
      </w:r>
      <w:r>
        <w:rPr>
          <w:rFonts w:ascii="Calibri" w:cs="Calibri" w:eastAsia="Calibri" w:hAnsi="Calibri"/>
          <w:color w:val="2B2338"/>
          <w:sz w:val="21"/>
          <w:szCs w:val="21"/>
        </w:rPr>
        <w:t xml:space="preserve">A filterable, asymmetric grid. One large feature card, then smaller tiles in mixed weights. Each card carries a category label, one figure and the partner name.</w:t>
      </w:r>
    </w:p>
    <w:p>
      <w:pPr>
        <w:pStyle w:val="ListParagraph"/>
        <w:numPr>
          <w:ilvl w:val="0"/>
          <w:numId w:val="2"/>
        </w:numPr>
        <w:spacing w:after="80" w:line="276"/>
      </w:pPr>
      <w:r>
        <w:rPr>
          <w:rFonts w:ascii="Calibri" w:cs="Calibri" w:eastAsia="Calibri" w:hAnsi="Calibri"/>
          <w:b/>
          <w:bCs/>
          <w:color w:val="2B2338"/>
          <w:sz w:val="21"/>
          <w:szCs w:val="21"/>
        </w:rPr>
        <w:t xml:space="preserve">Case detail. </w:t>
      </w:r>
      <w:r>
        <w:rPr>
          <w:rFonts w:ascii="Calibri" w:cs="Calibri" w:eastAsia="Calibri" w:hAnsi="Calibri"/>
          <w:color w:val="2B2338"/>
          <w:sz w:val="21"/>
          <w:szCs w:val="21"/>
        </w:rPr>
        <w:t xml:space="preserve">A full editorial page per case: the challenge, what COATI did, the result, with partner quote and imagery. This is where the client’s requested description, activities and results structure lives.</w:t>
      </w:r>
    </w:p>
    <w:p>
      <w:pPr>
        <w:spacing w:after="120" w:before="0" w:line="276"/>
      </w:pPr>
      <w:r>
        <w:rPr>
          <w:rFonts w:ascii="Calibri" w:cs="Calibri" w:eastAsia="Calibri" w:hAnsi="Calibri"/>
          <w:color w:val="2B2338"/>
          <w:sz w:val="21"/>
          <w:szCs w:val="21"/>
        </w:rPr>
        <w:t xml:space="preserve">The third layer matters. The client asked for description, activities and results per case; putting all three on cards is what would make the section text-heavy, which is precisely what was to be avoided.</w:t>
      </w:r>
    </w:p>
    <w:p>
      <w:pPr>
        <w:pStyle w:val="Heading2"/>
        <w:spacing w:after="140" w:before="240"/>
      </w:pPr>
      <w:r>
        <w:rPr>
          <w:rFonts w:ascii="Calibri" w:cs="Calibri" w:eastAsia="Calibri" w:hAnsi="Calibri"/>
          <w:b/>
          <w:bCs/>
          <w:color w:val="6E4FA3"/>
          <w:sz w:val="25"/>
          <w:szCs w:val="25"/>
        </w:rPr>
        <w:t xml:space="preserve">2.3 Filters and visual register</w:t>
      </w:r>
    </w:p>
    <w:p>
      <w:pPr>
        <w:spacing w:after="120" w:before="0" w:line="276"/>
      </w:pPr>
      <w:r>
        <w:rPr>
          <w:rFonts w:ascii="Calibri" w:cs="Calibri" w:eastAsia="Calibri" w:hAnsi="Calibri"/>
          <w:color w:val="2B2338"/>
          <w:sz w:val="21"/>
          <w:szCs w:val="21"/>
        </w:rPr>
        <w:t xml:space="preserve">Six filters: all work, sales growth, media, influencers, events, awards. They are rendered as small serif labels with a gold underline that slides between them, rather than as filled chips. The filter interaction and its cross-fade is where this section spends its animation budget.</w:t>
      </w:r>
    </w:p>
    <w:p>
      <w:pPr>
        <w:spacing w:after="120" w:before="0" w:line="276"/>
      </w:pPr>
      <w:r>
        <w:rPr>
          <w:rFonts w:ascii="Calibri" w:cs="Calibri" w:eastAsia="Calibri" w:hAnsi="Calibri"/>
          <w:b/>
          <w:bCs/>
          <w:color w:val="2B2338"/>
          <w:sz w:val="21"/>
          <w:szCs w:val="21"/>
        </w:rPr>
        <w:t xml:space="preserve">On visual register. </w:t>
      </w:r>
      <w:r>
        <w:rPr>
          <w:rFonts w:ascii="Calibri" w:cs="Calibri" w:eastAsia="Calibri" w:hAnsi="Calibri"/>
          <w:color w:val="2B2338"/>
          <w:sz w:val="21"/>
          <w:szCs w:val="21"/>
        </w:rPr>
        <w:t xml:space="preserve">The default pattern for a section like this is a pill-and-card grid, which reads as a marketing page. Against the reference sites the client admires, the treatment has to be quieter: numbers as typography, generous negative space, asymmetric rhythm, and no boxes or icons around figures. The structure is a case index; the styling is editorial.</w:t>
      </w:r>
    </w:p>
    <w:p>
      <w:pPr>
        <w:pStyle w:val="Heading2"/>
        <w:spacing w:after="140" w:before="240"/>
      </w:pPr>
      <w:r>
        <w:rPr>
          <w:rFonts w:ascii="Calibri" w:cs="Calibri" w:eastAsia="Calibri" w:hAnsi="Calibri"/>
          <w:b/>
          <w:bCs/>
          <w:color w:val="6E4FA3"/>
          <w:sz w:val="25"/>
          <w:szCs w:val="25"/>
        </w:rPr>
        <w:t xml:space="preserve">2.4 Lead cases</w:t>
      </w:r>
    </w:p>
    <w:p>
      <w:pPr>
        <w:spacing w:after="120" w:before="0" w:line="276"/>
      </w:pPr>
      <w:r>
        <w:rPr>
          <w:rFonts w:ascii="Calibri" w:cs="Calibri" w:eastAsia="Calibri" w:hAnsi="Calibri"/>
          <w:color w:val="2B2338"/>
          <w:sz w:val="21"/>
          <w:szCs w:val="21"/>
        </w:rPr>
        <w:t xml:space="preserve">Cinnamon and Fushifaru lead the section. Both are also WePresent tour partners, which makes the proof directly relevant: the site can show a delivered result for a property a visitor is being invited to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1560"/>
      </w:tblGrid>
      <w:tr>
        <w:trPr>
          <w:tblHeader/>
        </w:trPr>
        <w:tc>
          <w:tcPr>
            <w:tcW w:type="dxa" w:w="29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Partner</w:t>
            </w:r>
          </w:p>
        </w:tc>
        <w:tc>
          <w:tcPr>
            <w:tcW w:type="dxa" w:w="49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Result</w:t>
            </w:r>
          </w:p>
        </w:tc>
        <w:tc>
          <w:tcPr>
            <w:tcW w:type="dxa" w:w="156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Category</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Cinnamon Maldives (4 hotels)</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19,854 room nights April to December 2025, up 20% on 2024</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Sales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Sheraton Maldives Full Moon</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98% sales growth 2023 to 2025; 4,287 room nights in 2025</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Sales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Holiday Inn Resort Kandooma</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6,750 room nights; November 2025 up 443 year on year</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Sales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Fushifaru Maldives</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Up 73% on 2021 (RU), up 28% on 2024, up 143% (Kazakhstan)</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Sales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Walkers Tours, Sri Lanka</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60% growth in the first year of partnership</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Sales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Happy Planet DMC, Mauritius</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7 new tour operator contracts signed in 2025</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Sales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Ministry of Heritage and Tourism of Oman</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Appointed official representative</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Awards</w:t>
            </w:r>
          </w:p>
        </w:tc>
      </w:tr>
      <w:tr>
        <w:trPr>
          <w:tblHeader w:val="false"/>
        </w:trPr>
        <w:tc>
          <w:tcPr>
            <w:tcW w:type="dxa" w:w="2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Fashion Travel Awards 2026</w:t>
            </w:r>
          </w:p>
        </w:tc>
        <w:tc>
          <w:tcPr>
            <w:tcW w:type="dxa" w:w="49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Best representative company in Russia</w:t>
            </w:r>
          </w:p>
        </w:tc>
        <w:tc>
          <w:tcPr>
            <w:tcW w:type="dxa" w:w="15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Awards</w:t>
            </w:r>
          </w:p>
        </w:tc>
      </w:tr>
    </w:tbl>
    <w:p>
      <w:pPr>
        <w:spacing w:after="160"/>
      </w:pPr>
    </w:p>
    <w:p>
      <w:pPr>
        <w:spacing w:after="120" w:before="0" w:line="276"/>
      </w:pPr>
      <w:r>
        <w:rPr>
          <w:rFonts w:ascii="Calibri" w:cs="Calibri" w:eastAsia="Calibri" w:hAnsi="Calibri"/>
          <w:color w:val="2B2338"/>
          <w:sz w:val="21"/>
          <w:szCs w:val="21"/>
        </w:rPr>
        <w:t xml:space="preserve">Reach and media cases are listed in full in Appendix C.</w:t>
      </w:r>
    </w:p>
    <w:p>
      <w:pPr>
        <w:pageBreakBefore/>
        <w:spacing w:after="0"/>
      </w:pPr>
    </w:p>
    <w:p>
      <w:pPr>
        <w:pStyle w:val="Heading1"/>
        <w:spacing w:after="140" w:before="360"/>
      </w:pPr>
      <w:r>
        <w:rPr>
          <w:rFonts w:ascii="Calibri" w:cs="Calibri" w:eastAsia="Calibri" w:hAnsi="Calibri"/>
          <w:b/>
          <w:bCs/>
          <w:color w:val="3E2C55"/>
          <w:sz w:val="30"/>
          <w:szCs w:val="30"/>
        </w:rPr>
        <w:t xml:space="preserve">3. Tour programmes</w:t>
      </w:r>
    </w:p>
    <w:p>
      <w:pPr>
        <w:pStyle w:val="Heading2"/>
        <w:spacing w:after="140" w:before="240"/>
      </w:pPr>
      <w:r>
        <w:rPr>
          <w:rFonts w:ascii="Calibri" w:cs="Calibri" w:eastAsia="Calibri" w:hAnsi="Calibri"/>
          <w:b/>
          <w:bCs/>
          <w:color w:val="6E4FA3"/>
          <w:sz w:val="25"/>
          <w:szCs w:val="25"/>
        </w:rPr>
        <w:t xml:space="preserve">3.1 Cinnamon Maldives Resorts</w:t>
      </w:r>
    </w:p>
    <w:p>
      <w:pPr>
        <w:spacing w:after="120" w:before="0" w:line="276"/>
      </w:pPr>
      <w:r>
        <w:rPr>
          <w:rFonts w:ascii="Calibri" w:cs="Calibri" w:eastAsia="Calibri" w:hAnsi="Calibri"/>
          <w:color w:val="2B2338"/>
          <w:sz w:val="21"/>
          <w:szCs w:val="21"/>
        </w:rPr>
        <w:t xml:space="preserve">Tour name confirmed by the client. The programme includes four Cinnamon properties only. Dates are not yet confirmed and are not to be invented; the tour ships in a coming-soon state until they arrive. Short descriptions are written separately and added through the content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Property</w:t>
            </w:r>
          </w:p>
        </w:tc>
        <w:tc>
          <w:tcPr>
            <w:tcW w:type="dxa" w:w="16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Rating</w:t>
            </w:r>
          </w:p>
        </w:tc>
        <w:tc>
          <w:tcPr>
            <w:tcW w:type="dxa" w:w="336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Note</w:t>
            </w:r>
          </w:p>
        </w:tc>
      </w:tr>
      <w:tr>
        <w:trPr>
          <w:tblHeader w:val="false"/>
        </w:trPr>
        <w:tc>
          <w:tcPr>
            <w:tcW w:type="dxa" w:w="44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Cinnamon Velifushi Maldives</w:t>
            </w:r>
          </w:p>
        </w:tc>
        <w:tc>
          <w:tcPr>
            <w:tcW w:type="dxa" w:w="1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5 star</w:t>
            </w:r>
          </w:p>
        </w:tc>
        <w:tc>
          <w:tcPr>
            <w:tcW w:type="dxa" w:w="3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
            </w:r>
          </w:p>
        </w:tc>
      </w:tr>
      <w:tr>
        <w:trPr>
          <w:tblHeader w:val="false"/>
        </w:trPr>
        <w:tc>
          <w:tcPr>
            <w:tcW w:type="dxa" w:w="44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Cinnamon Hakuraa Huraa Maldives</w:t>
            </w:r>
          </w:p>
        </w:tc>
        <w:tc>
          <w:tcPr>
            <w:tcW w:type="dxa" w:w="1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5 star</w:t>
            </w:r>
          </w:p>
        </w:tc>
        <w:tc>
          <w:tcPr>
            <w:tcW w:type="dxa" w:w="3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Adults only, 18+</w:t>
            </w:r>
          </w:p>
        </w:tc>
      </w:tr>
      <w:tr>
        <w:trPr>
          <w:tblHeader w:val="false"/>
        </w:trPr>
        <w:tc>
          <w:tcPr>
            <w:tcW w:type="dxa" w:w="44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Cinnamon Dhonveli Maldives</w:t>
            </w:r>
          </w:p>
        </w:tc>
        <w:tc>
          <w:tcPr>
            <w:tcW w:type="dxa" w:w="1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4 star</w:t>
            </w:r>
          </w:p>
        </w:tc>
        <w:tc>
          <w:tcPr>
            <w:tcW w:type="dxa" w:w="3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
            </w:r>
          </w:p>
        </w:tc>
      </w:tr>
      <w:tr>
        <w:trPr>
          <w:tblHeader w:val="false"/>
        </w:trPr>
        <w:tc>
          <w:tcPr>
            <w:tcW w:type="dxa" w:w="44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Ellaidhoo Maldives by Cinnamon</w:t>
            </w:r>
          </w:p>
        </w:tc>
        <w:tc>
          <w:tcPr>
            <w:tcW w:type="dxa" w:w="1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4 star</w:t>
            </w:r>
          </w:p>
        </w:tc>
        <w:tc>
          <w:tcPr>
            <w:tcW w:type="dxa" w:w="3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
            </w:r>
          </w:p>
        </w:tc>
      </w:tr>
    </w:tbl>
    <w:p>
      <w:pPr>
        <w:spacing w:after="160"/>
      </w:pPr>
    </w:p>
    <w:p>
      <w:pPr>
        <w:spacing w:after="120" w:before="0" w:line="276"/>
      </w:pPr>
      <w:r>
        <w:rPr>
          <w:rFonts w:ascii="Calibri" w:cs="Calibri" w:eastAsia="Calibri" w:hAnsi="Calibri"/>
          <w:color w:val="2B2338"/>
          <w:sz w:val="21"/>
          <w:szCs w:val="21"/>
        </w:rPr>
        <w:t xml:space="preserve">Per the client’s instruction the 5-star and 4-star properties are presented as two visually separated groups with their own subheadings, rather than mixed into a single grid.</w:t>
      </w:r>
    </w:p>
    <w:p>
      <w:pPr>
        <w:pStyle w:val="Heading2"/>
        <w:spacing w:after="140" w:before="240"/>
      </w:pPr>
      <w:r>
        <w:rPr>
          <w:rFonts w:ascii="Calibri" w:cs="Calibri" w:eastAsia="Calibri" w:hAnsi="Calibri"/>
          <w:b/>
          <w:bCs/>
          <w:color w:val="6E4FA3"/>
          <w:sz w:val="25"/>
          <w:szCs w:val="25"/>
        </w:rPr>
        <w:t xml:space="preserve">3.2 Oman</w:t>
      </w:r>
    </w:p>
    <w:p>
      <w:pPr>
        <w:spacing w:after="120" w:before="0" w:line="276"/>
      </w:pPr>
      <w:r>
        <w:rPr>
          <w:rFonts w:ascii="Calibri" w:cs="Calibri" w:eastAsia="Calibri" w:hAnsi="Calibri"/>
          <w:color w:val="2B2338"/>
          <w:sz w:val="21"/>
          <w:szCs w:val="21"/>
        </w:rPr>
        <w:t xml:space="preserve">Oman is a destination programme. COATI represents the destination as a whole rather than individual hotels, so the page is built around the Oman experience, the itinerary and destination opportunities. The template must not render a resort grid for this programme type. It ships as a coming-soon shell until itinerary content is supplied.</w:t>
      </w:r>
    </w:p>
    <w:p>
      <w:pPr>
        <w:pStyle w:val="Heading2"/>
        <w:spacing w:after="140" w:before="240"/>
      </w:pPr>
      <w:r>
        <w:rPr>
          <w:rFonts w:ascii="Calibri" w:cs="Calibri" w:eastAsia="Calibri" w:hAnsi="Calibri"/>
          <w:b/>
          <w:bCs/>
          <w:color w:val="6E4FA3"/>
          <w:sz w:val="25"/>
          <w:szCs w:val="25"/>
        </w:rPr>
        <w:t xml:space="preserve">3.3 Kenya</w:t>
      </w:r>
    </w:p>
    <w:p>
      <w:pPr>
        <w:spacing w:after="120" w:before="0" w:line="276"/>
      </w:pPr>
      <w:r>
        <w:rPr>
          <w:rFonts w:ascii="Calibri" w:cs="Calibri" w:eastAsia="Calibri" w:hAnsi="Calibri"/>
          <w:color w:val="2B2338"/>
          <w:sz w:val="21"/>
          <w:szCs w:val="21"/>
        </w:rPr>
        <w:t xml:space="preserve">The Kenya programme includes no resorts. COATI represents the Saruni Basecamp collection, which comprises 13 safari lodges across Kenya; selected lodges are included depending on the itinerary. The lodges are listed by name. No logos are available, so the logo slot is guarded rather than filled with placeholders.</w:t>
      </w:r>
    </w:p>
    <w:p>
      <w:pPr>
        <w:pStyle w:val="Heading2"/>
        <w:spacing w:after="140" w:before="240"/>
      </w:pPr>
      <w:r>
        <w:rPr>
          <w:rFonts w:ascii="Calibri" w:cs="Calibri" w:eastAsia="Calibri" w:hAnsi="Calibri"/>
          <w:b/>
          <w:bCs/>
          <w:color w:val="6E4FA3"/>
          <w:sz w:val="25"/>
          <w:szCs w:val="25"/>
        </w:rPr>
        <w:t xml:space="preserve">3.4 Maldives Tours 1 and 2</w:t>
      </w:r>
    </w:p>
    <w:p>
      <w:pPr>
        <w:spacing w:after="120" w:before="0" w:line="276"/>
      </w:pPr>
      <w:r>
        <w:rPr>
          <w:rFonts w:ascii="Calibri" w:cs="Calibri" w:eastAsia="Calibri" w:hAnsi="Calibri"/>
          <w:color w:val="2B2338"/>
          <w:sz w:val="21"/>
          <w:szCs w:val="21"/>
        </w:rPr>
        <w:t xml:space="preserve">Unchanged. These programmes include the properties already specified.</w:t>
      </w:r>
    </w:p>
    <w:p>
      <w:pPr>
        <w:pStyle w:val="Heading1"/>
        <w:spacing w:after="140" w:before="360"/>
      </w:pPr>
      <w:r>
        <w:rPr>
          <w:rFonts w:ascii="Calibri" w:cs="Calibri" w:eastAsia="Calibri" w:hAnsi="Calibri"/>
          <w:b/>
          <w:bCs/>
          <w:color w:val="3E2C55"/>
          <w:sz w:val="30"/>
          <w:szCs w:val="30"/>
        </w:rPr>
        <w:t xml:space="preserve">4. Tour detail sections</w:t>
      </w:r>
    </w:p>
    <w:p>
      <w:pPr>
        <w:pStyle w:val="Heading2"/>
        <w:spacing w:after="140" w:before="240"/>
      </w:pPr>
      <w:r>
        <w:rPr>
          <w:rFonts w:ascii="Calibri" w:cs="Calibri" w:eastAsia="Calibri" w:hAnsi="Calibri"/>
          <w:b/>
          <w:bCs/>
          <w:color w:val="6E4FA3"/>
          <w:sz w:val="25"/>
          <w:szCs w:val="25"/>
        </w:rPr>
        <w:t xml:space="preserve">4.1 What’s Included, revised</w:t>
      </w:r>
    </w:p>
    <w:p>
      <w:pPr>
        <w:spacing w:after="120" w:before="0" w:line="276"/>
      </w:pPr>
      <w:r>
        <w:rPr>
          <w:rFonts w:ascii="Calibri" w:cs="Calibri" w:eastAsia="Calibri" w:hAnsi="Calibri"/>
          <w:color w:val="2B2338"/>
          <w:sz w:val="21"/>
          <w:szCs w:val="21"/>
        </w:rPr>
        <w:t xml:space="preserve">The client reviewed the block as built and asked for two changes: remove the registration fee, and replace the meal plan with a plain "Dining" label, to make the section cleaner and more balanced.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Item</w:t>
            </w:r>
          </w:p>
        </w:tc>
        <w:tc>
          <w:tcPr>
            <w:tcW w:type="dxa" w:w="36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English</w:t>
            </w:r>
          </w:p>
        </w:tc>
        <w:tc>
          <w:tcPr>
            <w:tcW w:type="dxa" w:w="396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Russian</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Accommodation</w:t>
            </w:r>
          </w:p>
        </w:tc>
        <w:tc>
          <w:tcPr>
            <w:tcW w:type="dxa" w:w="3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Accommodation (1/2 DBL*)</w:t>
            </w:r>
          </w:p>
        </w:tc>
        <w:tc>
          <w:tcPr>
            <w:tcW w:type="dxa" w:w="39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Проживание (1/2 DBL*)</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Dining</w:t>
            </w:r>
          </w:p>
        </w:tc>
        <w:tc>
          <w:tcPr>
            <w:tcW w:type="dxa" w:w="3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Dining</w:t>
            </w:r>
          </w:p>
        </w:tc>
        <w:tc>
          <w:tcPr>
            <w:tcW w:type="dxa" w:w="39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Питание</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Transfers</w:t>
            </w:r>
          </w:p>
        </w:tc>
        <w:tc>
          <w:tcPr>
            <w:tcW w:type="dxa" w:w="3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Transfers</w:t>
            </w:r>
          </w:p>
        </w:tc>
        <w:tc>
          <w:tcPr>
            <w:tcW w:type="dxa" w:w="39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Трансферы</w:t>
            </w:r>
          </w:p>
        </w:tc>
      </w:tr>
      <w:tr>
        <w:trPr>
          <w:tblHeader w:val="false"/>
        </w:trPr>
        <w:tc>
          <w:tcPr>
            <w:tcW w:type="dxa" w:w="18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Programme</w:t>
            </w:r>
          </w:p>
        </w:tc>
        <w:tc>
          <w:tcPr>
            <w:tcW w:type="dxa" w:w="36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Exclusive programme with hotel management</w:t>
            </w:r>
          </w:p>
        </w:tc>
        <w:tc>
          <w:tcPr>
            <w:tcW w:type="dxa" w:w="39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Эксклюзивная программа с руководством отеля</w:t>
            </w:r>
          </w:p>
        </w:tc>
      </w:tr>
    </w:tbl>
    <w:p>
      <w:pPr>
        <w:spacing w:after="160"/>
      </w:pPr>
    </w:p>
    <w:p>
      <w:pPr>
        <w:spacing w:after="120" w:before="0" w:line="276"/>
      </w:pPr>
      <w:r>
        <w:rPr>
          <w:rFonts w:ascii="Calibri" w:cs="Calibri" w:eastAsia="Calibri" w:hAnsi="Calibri"/>
          <w:color w:val="2B2338"/>
          <w:sz w:val="21"/>
          <w:szCs w:val="21"/>
        </w:rPr>
        <w:t xml:space="preserve">Three consequences of this change are worth recording, because they resolve concerns the client raised separately.</w:t>
      </w:r>
    </w:p>
    <w:p>
      <w:pPr>
        <w:pStyle w:val="ListParagraph"/>
        <w:numPr>
          <w:ilvl w:val="0"/>
          <w:numId w:val="2"/>
        </w:numPr>
        <w:spacing w:after="80" w:line="276"/>
      </w:pPr>
      <w:r>
        <w:rPr>
          <w:rFonts w:ascii="Calibri" w:cs="Calibri" w:eastAsia="Calibri" w:hAnsi="Calibri"/>
          <w:b/>
          <w:bCs/>
          <w:color w:val="2B2338"/>
          <w:sz w:val="21"/>
          <w:szCs w:val="21"/>
        </w:rPr>
        <w:t xml:space="preserve">The empty space resolves itself. </w:t>
      </w:r>
      <w:r>
        <w:rPr>
          <w:rFonts w:ascii="Calibri" w:cs="Calibri" w:eastAsia="Calibri" w:hAnsi="Calibri"/>
          <w:color w:val="2B2338"/>
          <w:sz w:val="21"/>
          <w:szCs w:val="21"/>
        </w:rPr>
        <w:t xml:space="preserve">Five items left an orphan on the final row, which is what prompted the suggestion to fill the space with additional information. Four items give a clean four-across on desktop and a two-by-two on mobile. No filler content is needed.</w:t>
      </w:r>
    </w:p>
    <w:p>
      <w:pPr>
        <w:pStyle w:val="ListParagraph"/>
        <w:numPr>
          <w:ilvl w:val="0"/>
          <w:numId w:val="2"/>
        </w:numPr>
        <w:spacing w:after="80" w:line="276"/>
      </w:pPr>
      <w:r>
        <w:rPr>
          <w:rFonts w:ascii="Calibri" w:cs="Calibri" w:eastAsia="Calibri" w:hAnsi="Calibri"/>
          <w:b/>
          <w:bCs/>
          <w:color w:val="2B2338"/>
          <w:sz w:val="21"/>
          <w:szCs w:val="21"/>
        </w:rPr>
        <w:t xml:space="preserve">The block becomes destination-agnostic. </w:t>
      </w:r>
      <w:r>
        <w:rPr>
          <w:rFonts w:ascii="Calibri" w:cs="Calibri" w:eastAsia="Calibri" w:hAnsi="Calibri"/>
          <w:color w:val="2B2338"/>
          <w:sz w:val="21"/>
          <w:szCs w:val="21"/>
        </w:rPr>
        <w:t xml:space="preserve">Naming the meal plan is what tied the section to Maldives Tours 1 and 2. "Dining" is true of every programme, including those with meals according to programme rather than all-inclusive. The section can now render on every tour, which answers the client’s original objection.</w:t>
      </w:r>
    </w:p>
    <w:p>
      <w:pPr>
        <w:pStyle w:val="ListParagraph"/>
        <w:numPr>
          <w:ilvl w:val="0"/>
          <w:numId w:val="2"/>
        </w:numPr>
        <w:spacing w:after="80" w:line="276"/>
      </w:pPr>
      <w:r>
        <w:rPr>
          <w:rFonts w:ascii="Calibri" w:cs="Calibri" w:eastAsia="Calibri" w:hAnsi="Calibri"/>
          <w:b/>
          <w:bCs/>
          <w:color w:val="2B2338"/>
          <w:sz w:val="21"/>
          <w:szCs w:val="21"/>
        </w:rPr>
        <w:t xml:space="preserve">It sets a clean division of labour. </w:t>
      </w:r>
      <w:r>
        <w:rPr>
          <w:rFonts w:ascii="Calibri" w:cs="Calibri" w:eastAsia="Calibri" w:hAnsi="Calibri"/>
          <w:color w:val="2B2338"/>
          <w:sz w:val="21"/>
          <w:szCs w:val="21"/>
        </w:rPr>
        <w:t xml:space="preserve">The website block states the category of what is covered. The gated PDF states the specifics for that tour. Detail must not creep back onto the page.</w:t>
      </w:r>
    </w:p>
    <w:p>
      <w:pPr>
        <w:spacing w:after="120" w:before="0" w:line="276"/>
      </w:pPr>
      <w:r>
        <w:rPr>
          <w:rFonts w:ascii="Calibri" w:cs="Calibri" w:eastAsia="Calibri" w:hAnsi="Calibri"/>
          <w:color w:val="2B2338"/>
          <w:sz w:val="21"/>
          <w:szCs w:val="21"/>
        </w:rPr>
        <w:t xml:space="preserve">The registration fee remains available as an optional item in the content portal, switched off by default, in case a future edition charges one.</w:t>
      </w:r>
    </w:p>
    <w:p>
      <w:pPr>
        <w:spacing w:after="120" w:before="0" w:line="276"/>
      </w:pPr>
      <w:r>
        <w:rPr>
          <w:rFonts w:ascii="Calibri" w:cs="Calibri" w:eastAsia="Calibri" w:hAnsi="Calibri"/>
          <w:b/>
          <w:bCs/>
          <w:color w:val="2B2338"/>
          <w:sz w:val="21"/>
          <w:szCs w:val="21"/>
        </w:rPr>
        <w:t xml:space="preserve">Fine print, unchanged in substance: </w:t>
      </w:r>
      <w:r>
        <w:rPr>
          <w:rFonts w:ascii="Calibri" w:cs="Calibri" w:eastAsia="Calibri" w:hAnsi="Calibri"/>
          <w:color w:val="2B2338"/>
          <w:sz w:val="21"/>
          <w:szCs w:val="21"/>
        </w:rPr>
        <w:t xml:space="preserve">single-room accommodation is available at an additional charge on request. International flights and travel insurance are arranged independently by participants. Exact inclusions are confirmed at registration for each tour. Full Russian and English wording in Appendix B.</w:t>
      </w:r>
    </w:p>
    <w:p>
      <w:pPr>
        <w:pStyle w:val="Heading2"/>
        <w:spacing w:after="140" w:before="240"/>
      </w:pPr>
      <w:r>
        <w:rPr>
          <w:rFonts w:ascii="Calibri" w:cs="Calibri" w:eastAsia="Calibri" w:hAnsi="Calibri"/>
          <w:b/>
          <w:bCs/>
          <w:color w:val="6E4FA3"/>
          <w:sz w:val="25"/>
          <w:szCs w:val="25"/>
        </w:rPr>
        <w:t xml:space="preserve">4.2 On-site programme</w:t>
      </w:r>
    </w:p>
    <w:p>
      <w:pPr>
        <w:spacing w:after="120" w:before="0" w:line="276"/>
      </w:pPr>
      <w:r>
        <w:rPr>
          <w:rFonts w:ascii="Calibri" w:cs="Calibri" w:eastAsia="Calibri" w:hAnsi="Calibri"/>
          <w:color w:val="2B2338"/>
          <w:sz w:val="21"/>
          <w:szCs w:val="21"/>
        </w:rPr>
        <w:t xml:space="preserve">Two problems with the version currently live.</w:t>
      </w:r>
    </w:p>
    <w:p>
      <w:pPr>
        <w:pStyle w:val="ListParagraph"/>
        <w:numPr>
          <w:ilvl w:val="0"/>
          <w:numId w:val="2"/>
        </w:numPr>
        <w:spacing w:after="80" w:line="276"/>
      </w:pPr>
      <w:r>
        <w:rPr>
          <w:rFonts w:ascii="Calibri" w:cs="Calibri" w:eastAsia="Calibri" w:hAnsi="Calibri"/>
          <w:b/>
          <w:bCs/>
          <w:color w:val="2B2338"/>
          <w:sz w:val="21"/>
          <w:szCs w:val="21"/>
        </w:rPr>
        <w:t xml:space="preserve">The title does not travel. </w:t>
      </w:r>
      <w:r>
        <w:rPr>
          <w:rFonts w:ascii="Calibri" w:cs="Calibri" w:eastAsia="Calibri" w:hAnsi="Calibri"/>
          <w:color w:val="2B2338"/>
          <w:sz w:val="21"/>
          <w:szCs w:val="21"/>
        </w:rPr>
        <w:t xml:space="preserve">It reads "At every hotel you will enjoy". Oman is a destination programme with no hotels and Kenya uses lodges. The title becomes a per-tour field in the content portal, defaulting to the client’s wording for the Maldives tours and overridden for the others. The items themselves stay a shared default that every tour inherits, since the on-site programme is the same everywhere.</w:t>
      </w:r>
    </w:p>
    <w:p>
      <w:pPr>
        <w:pStyle w:val="ListParagraph"/>
        <w:numPr>
          <w:ilvl w:val="0"/>
          <w:numId w:val="2"/>
        </w:numPr>
        <w:spacing w:after="80" w:line="276"/>
      </w:pPr>
      <w:r>
        <w:rPr>
          <w:rFonts w:ascii="Calibri" w:cs="Calibri" w:eastAsia="Calibri" w:hAnsi="Calibri"/>
          <w:b/>
          <w:bCs/>
          <w:color w:val="2B2338"/>
          <w:sz w:val="21"/>
          <w:szCs w:val="21"/>
        </w:rPr>
        <w:t xml:space="preserve">The layout is flat and tall. </w:t>
      </w:r>
      <w:r>
        <w:rPr>
          <w:rFonts w:ascii="Calibri" w:cs="Calibri" w:eastAsia="Calibri" w:hAnsi="Calibri"/>
          <w:color w:val="2B2338"/>
          <w:sz w:val="21"/>
          <w:szCs w:val="21"/>
        </w:rPr>
        <w:t xml:space="preserve">Six equal cards, each carrying the same icon, stacked full width on mobile. This is the same problem identified on the About value grid in v2.0, and the same fix applies: remove the card chrome for a hairline-ruled list, drop the repeated icon, and tighten the vertical rhythm so the block reads as one unit rather than six.</w:t>
      </w:r>
    </w:p>
    <w:p>
      <w:pPr>
        <w:pStyle w:val="Heading2"/>
        <w:spacing w:after="140" w:before="240"/>
      </w:pPr>
      <w:r>
        <w:rPr>
          <w:rFonts w:ascii="Calibri" w:cs="Calibri" w:eastAsia="Calibri" w:hAnsi="Calibri"/>
          <w:b/>
          <w:bCs/>
          <w:color w:val="6E4FA3"/>
          <w:sz w:val="25"/>
          <w:szCs w:val="25"/>
        </w:rPr>
        <w:t xml:space="preserve">4.3 Flights</w:t>
      </w:r>
    </w:p>
    <w:p>
      <w:pPr>
        <w:pStyle w:val="ListParagraph"/>
        <w:numPr>
          <w:ilvl w:val="0"/>
          <w:numId w:val="2"/>
        </w:numPr>
        <w:spacing w:after="80" w:line="276"/>
      </w:pPr>
      <w:r>
        <w:rPr>
          <w:rFonts w:ascii="Calibri" w:cs="Calibri" w:eastAsia="Calibri" w:hAnsi="Calibri"/>
          <w:b/>
          <w:bCs/>
          <w:color w:val="B03030"/>
          <w:sz w:val="18"/>
          <w:szCs w:val="18"/>
        </w:rPr>
        <w:t xml:space="preserve">FIX  </w:t>
      </w:r>
      <w:r>
        <w:rPr>
          <w:rFonts w:ascii="Calibri" w:cs="Calibri" w:eastAsia="Calibri" w:hAnsi="Calibri"/>
          <w:color w:val="2B2338"/>
          <w:sz w:val="21"/>
          <w:szCs w:val="21"/>
        </w:rPr>
        <w:t xml:space="preserve">Any copy stating that everything is included, including flights, must be removed. International flights are arranged and paid for by participants. This is currently live and is a factual misstatement, so it is the highest-priority copy fix in this round.</w:t>
      </w:r>
    </w:p>
    <w:p>
      <w:pPr>
        <w:pStyle w:val="Heading1"/>
        <w:spacing w:after="140" w:before="360"/>
      </w:pPr>
      <w:r>
        <w:rPr>
          <w:rFonts w:ascii="Calibri" w:cs="Calibri" w:eastAsia="Calibri" w:hAnsi="Calibri"/>
          <w:b/>
          <w:bCs/>
          <w:color w:val="3E2C55"/>
          <w:sz w:val="30"/>
          <w:szCs w:val="30"/>
        </w:rPr>
        <w:t xml:space="preserve">5. Programme PDFs</w:t>
      </w:r>
    </w:p>
    <w:p>
      <w:pPr>
        <w:spacing w:after="120" w:before="0" w:line="276"/>
      </w:pPr>
      <w:r>
        <w:rPr>
          <w:rFonts w:ascii="Calibri" w:cs="Calibri" w:eastAsia="Calibri" w:hAnsi="Calibri"/>
          <w:color w:val="2B2338"/>
          <w:sz w:val="21"/>
          <w:szCs w:val="21"/>
        </w:rPr>
        <w:t xml:space="preserve">Each tour can carry a downloadable file containing the detailed itinerary, the day-by-day programme and additional participant information. The client noted that each programme will differ and that a PDF per tour may be the most convenient way to handle that variation, which is exactly the division of labour described in section 4.1.</w:t>
      </w:r>
    </w:p>
    <w:p>
      <w:pPr>
        <w:spacing w:after="120" w:before="0" w:line="276"/>
      </w:pPr>
      <w:r>
        <w:rPr>
          <w:rFonts w:ascii="Calibri" w:cs="Calibri" w:eastAsia="Calibri" w:hAnsi="Calibri"/>
          <w:b/>
          <w:bCs/>
          <w:color w:val="2B2338"/>
          <w:sz w:val="21"/>
          <w:szCs w:val="21"/>
        </w:rPr>
        <w:t xml:space="preserve">Access is gated behind name and email. </w:t>
      </w:r>
      <w:r>
        <w:rPr>
          <w:rFonts w:ascii="Calibri" w:cs="Calibri" w:eastAsia="Calibri" w:hAnsi="Calibri"/>
          <w:color w:val="2B2338"/>
          <w:sz w:val="21"/>
          <w:szCs w:val="21"/>
        </w:rPr>
        <w:t xml:space="preserve">The reasoning: every download becomes a qualified lead the team can follow up, and it shows which tours are attracting interest before dates are even published. An open download gives away the same material and returns nothing.</w:t>
      </w:r>
    </w:p>
    <w:p>
      <w:pPr>
        <w:spacing w:after="120" w:before="0" w:line="276"/>
      </w:pPr>
      <w:r>
        <w:rPr>
          <w:rFonts w:ascii="Calibri" w:cs="Calibri" w:eastAsia="Calibri" w:hAnsi="Calibri"/>
          <w:color w:val="2B2338"/>
          <w:sz w:val="21"/>
          <w:szCs w:val="21"/>
        </w:rPr>
        <w:t xml:space="preserve">The mechanism supports more than one file per tour so Russian and English versions can coexist. Files are stored outside the public directory and served through the gated route, so no direct public URL exists. Tours without a PDF do not render a download block. Uploads are handled through the content portal.</w:t>
      </w:r>
    </w:p>
    <w:p>
      <w:pPr>
        <w:spacing w:after="120" w:before="0" w:line="276"/>
      </w:pPr>
      <w:r>
        <w:rPr>
          <w:rFonts w:ascii="Calibri" w:cs="Calibri" w:eastAsia="Calibri" w:hAnsi="Calibri"/>
          <w:b/>
          <w:bCs/>
          <w:color w:val="2B2338"/>
          <w:sz w:val="21"/>
          <w:szCs w:val="21"/>
        </w:rPr>
        <w:t xml:space="preserve">Open: </w:t>
      </w:r>
      <w:r>
        <w:rPr>
          <w:rFonts w:ascii="Calibri" w:cs="Calibri" w:eastAsia="Calibri" w:hAnsi="Calibri"/>
          <w:color w:val="2B2338"/>
          <w:sz w:val="21"/>
          <w:szCs w:val="21"/>
        </w:rPr>
        <w:t xml:space="preserve">whether PDFs are produced in Russian only or in both languages, and who produces them. The client will handle production going forward and may ask for initial support.</w:t>
      </w:r>
    </w:p>
    <w:p>
      <w:pPr>
        <w:pStyle w:val="Heading1"/>
        <w:spacing w:after="140" w:before="360"/>
      </w:pPr>
      <w:r>
        <w:rPr>
          <w:rFonts w:ascii="Calibri" w:cs="Calibri" w:eastAsia="Calibri" w:hAnsi="Calibri"/>
          <w:b/>
          <w:bCs/>
          <w:color w:val="3E2C55"/>
          <w:sz w:val="30"/>
          <w:szCs w:val="30"/>
        </w:rPr>
        <w:t xml:space="preserve">6. Contacts</w:t>
      </w:r>
    </w:p>
    <w:p>
      <w:pPr>
        <w:pStyle w:val="ListParagraph"/>
        <w:numPr>
          <w:ilvl w:val="0"/>
          <w:numId w:val="2"/>
        </w:numPr>
        <w:spacing w:after="80" w:line="276"/>
      </w:pPr>
      <w:r>
        <w:rPr>
          <w:rFonts w:ascii="Calibri" w:cs="Calibri" w:eastAsia="Calibri" w:hAnsi="Calibri"/>
          <w:color w:val="2B2338"/>
          <w:sz w:val="21"/>
          <w:szCs w:val="21"/>
        </w:rPr>
        <w:t xml:space="preserve">LinkedIn showcase page: linkedin.com/showcase/we-present-project, added alongside Instagram rather than replacing it.</w:t>
      </w:r>
    </w:p>
    <w:p>
      <w:pPr>
        <w:pStyle w:val="ListParagraph"/>
        <w:numPr>
          <w:ilvl w:val="0"/>
          <w:numId w:val="2"/>
        </w:numPr>
        <w:spacing w:after="80" w:line="276"/>
      </w:pPr>
      <w:r>
        <w:rPr>
          <w:rFonts w:ascii="Calibri" w:cs="Calibri" w:eastAsia="Calibri" w:hAnsi="Calibri"/>
          <w:color w:val="2B2338"/>
          <w:sz w:val="21"/>
          <w:szCs w:val="21"/>
        </w:rPr>
        <w:t xml:space="preserve">Working phone number +7 915 371 44 86, rendered as a click-to-chat WhatsApp link as well as a standard telephone link.</w:t>
      </w:r>
    </w:p>
    <w:p>
      <w:pPr>
        <w:pStyle w:val="ListParagraph"/>
        <w:numPr>
          <w:ilvl w:val="0"/>
          <w:numId w:val="2"/>
        </w:numPr>
        <w:spacing w:after="80" w:line="276"/>
      </w:pPr>
      <w:r>
        <w:rPr>
          <w:rFonts w:ascii="Calibri" w:cs="Calibri" w:eastAsia="Calibri" w:hAnsi="Calibri"/>
          <w:color w:val="2B2338"/>
          <w:sz w:val="21"/>
          <w:szCs w:val="21"/>
        </w:rPr>
        <w:t xml:space="preserve">Email: nothing is shown until the production address exists. The address currently in the codebase is a placeholder and is not to be treated as confirmed. It will be created and linked before the site goes live.</w:t>
      </w:r>
    </w:p>
    <w:p>
      <w:pPr>
        <w:pStyle w:val="Heading1"/>
        <w:spacing w:after="140" w:before="360"/>
      </w:pPr>
      <w:r>
        <w:rPr>
          <w:rFonts w:ascii="Calibri" w:cs="Calibri" w:eastAsia="Calibri" w:hAnsi="Calibri"/>
          <w:b/>
          <w:bCs/>
          <w:color w:val="3E2C55"/>
          <w:sz w:val="30"/>
          <w:szCs w:val="30"/>
        </w:rPr>
        <w:t xml:space="preserve">7. Homepage image</w:t>
      </w:r>
    </w:p>
    <w:p>
      <w:pPr>
        <w:spacing w:after="120" w:before="0" w:line="276"/>
      </w:pPr>
      <w:r>
        <w:rPr>
          <w:rFonts w:ascii="Calibri" w:cs="Calibri" w:eastAsia="Calibri" w:hAnsi="Calibri"/>
          <w:color w:val="2B2338"/>
          <w:sz w:val="21"/>
          <w:szCs w:val="21"/>
        </w:rPr>
        <w:t xml:space="preserve">The client likes the photograph because it is universal and not tied to one hotel or destination, but finds that the purple overlay makes it look unnatural, and asked for advice.</w:t>
      </w:r>
    </w:p>
    <w:p>
      <w:pPr>
        <w:spacing w:after="120" w:before="0" w:line="276"/>
      </w:pPr>
      <w:r>
        <w:rPr>
          <w:rFonts w:ascii="Calibri" w:cs="Calibri" w:eastAsia="Calibri" w:hAnsi="Calibri"/>
          <w:b/>
          <w:bCs/>
          <w:color w:val="2B2338"/>
          <w:sz w:val="21"/>
          <w:szCs w:val="21"/>
        </w:rPr>
        <w:t xml:space="preserve">The cause is colour, not opacity. </w:t>
      </w:r>
      <w:r>
        <w:rPr>
          <w:rFonts w:ascii="Calibri" w:cs="Calibri" w:eastAsia="Calibri" w:hAnsi="Calibri"/>
          <w:color w:val="2B2338"/>
          <w:sz w:val="21"/>
          <w:szCs w:val="21"/>
        </w:rPr>
        <w:t xml:space="preserve">The photograph is cyan and the overlay is violet. They sit close to opposite each other on the colour wheel, so layering one over the other desaturates both into a muddy grey-blue. Reducing the overlay opacity will not fix it.</w:t>
      </w:r>
    </w:p>
    <w:p>
      <w:pPr>
        <w:spacing w:after="120" w:before="0" w:line="276"/>
      </w:pPr>
      <w:r>
        <w:rPr>
          <w:rFonts w:ascii="Calibri" w:cs="Calibri" w:eastAsia="Calibri" w:hAnsi="Calibri"/>
          <w:color w:val="2B2338"/>
          <w:sz w:val="21"/>
          <w:szCs w:val="21"/>
        </w:rPr>
        <w:t xml:space="preserve">The recommended treatment: remove the flat wash entirely and colour-grade the image instead, reducing saturation by roughly 15%, warming the highlights toward ivory and deepening the shadows toward aubergine. The image then belongs to the palette without anything sitting on top of it. A tighter crop into the calmer deep water also gives the headline quieter space than the foam does.</w:t>
      </w:r>
    </w:p>
    <w:p>
      <w:pPr>
        <w:spacing w:after="120" w:before="0" w:line="276"/>
      </w:pPr>
      <w:r>
        <w:rPr>
          <w:rFonts w:ascii="Calibri" w:cs="Calibri" w:eastAsia="Calibri" w:hAnsi="Calibri"/>
          <w:b/>
          <w:bCs/>
          <w:color w:val="2B2338"/>
          <w:sz w:val="21"/>
          <w:szCs w:val="21"/>
        </w:rPr>
        <w:t xml:space="preserve">What not to do: </w:t>
      </w:r>
      <w:r>
        <w:rPr>
          <w:rFonts w:ascii="Calibri" w:cs="Calibri" w:eastAsia="Calibri" w:hAnsi="Calibri"/>
          <w:color w:val="2B2338"/>
          <w:sz w:val="21"/>
          <w:szCs w:val="21"/>
        </w:rPr>
        <w:t xml:space="preserve">add another scrim or gradient layer over the photograph to fix contrast. The project hit that exact problem twice before fixing it properly at the header component, and DESIGN.md now records it as a rule. Contrast is fixed at the component that needs it.</w:t>
      </w:r>
    </w:p>
    <w:p>
      <w:pPr>
        <w:spacing w:after="120" w:before="0" w:line="276"/>
      </w:pPr>
      <w:r>
        <w:rPr>
          <w:rFonts w:ascii="Calibri" w:cs="Calibri" w:eastAsia="Calibri" w:hAnsi="Calibri"/>
          <w:color w:val="2B2338"/>
          <w:sz w:val="21"/>
          <w:szCs w:val="21"/>
        </w:rPr>
        <w:t xml:space="preserve">No alternative images are being sourced. The grade is applied in CSS rather than baked into the file so it remains adjustable.</w:t>
      </w:r>
    </w:p>
    <w:p>
      <w:pPr>
        <w:pageBreakBefore/>
        <w:spacing w:after="0"/>
      </w:pPr>
    </w:p>
    <w:p>
      <w:pPr>
        <w:pStyle w:val="Heading1"/>
        <w:spacing w:after="140" w:before="360"/>
      </w:pPr>
      <w:r>
        <w:rPr>
          <w:rFonts w:ascii="Calibri" w:cs="Calibri" w:eastAsia="Calibri" w:hAnsi="Calibri"/>
          <w:b/>
          <w:bCs/>
          <w:color w:val="3E2C55"/>
          <w:sz w:val="30"/>
          <w:szCs w:val="30"/>
        </w:rPr>
        <w:t xml:space="preserve">8. Carried forward from rounds 2 and 3</w:t>
      </w:r>
    </w:p>
    <w:p>
      <w:pPr>
        <w:spacing w:after="120" w:before="0" w:line="276"/>
      </w:pPr>
      <w:r>
        <w:rPr>
          <w:rFonts w:ascii="Calibri" w:cs="Calibri" w:eastAsia="Calibri" w:hAnsi="Calibri"/>
          <w:color w:val="2B2338"/>
          <w:sz w:val="21"/>
          <w:szCs w:val="21"/>
        </w:rPr>
        <w:t xml:space="preserve">None of the following has been built. It is specified in v1.9 and v2.0 and is sequenced into BUILD-PLAN.md alongside the round 4 work.</w:t>
      </w:r>
    </w:p>
    <w:p>
      <w:pPr>
        <w:pStyle w:val="ListParagraph"/>
        <w:numPr>
          <w:ilvl w:val="0"/>
          <w:numId w:val="2"/>
        </w:numPr>
        <w:spacing w:after="80" w:line="276"/>
      </w:pPr>
      <w:r>
        <w:rPr>
          <w:rFonts w:ascii="Calibri" w:cs="Calibri" w:eastAsia="Calibri" w:hAnsi="Calibri"/>
          <w:color w:val="2B2338"/>
          <w:sz w:val="21"/>
          <w:szCs w:val="21"/>
        </w:rPr>
        <w:t xml:space="preserve">About rebuilt as an integrated B2B platform: exclusive destination experiences, networking, education, media exposure, PR, influencer marketing and strategic partnerships.</w:t>
      </w:r>
    </w:p>
    <w:p>
      <w:pPr>
        <w:pStyle w:val="ListParagraph"/>
        <w:numPr>
          <w:ilvl w:val="0"/>
          <w:numId w:val="2"/>
        </w:numPr>
        <w:spacing w:after="80" w:line="276"/>
      </w:pPr>
      <w:r>
        <w:rPr>
          <w:rFonts w:ascii="Calibri" w:cs="Calibri" w:eastAsia="Calibri" w:hAnsi="Calibri"/>
          <w:color w:val="2B2338"/>
          <w:sz w:val="21"/>
          <w:szCs w:val="21"/>
        </w:rPr>
        <w:t xml:space="preserve">Resorts renamed and restructured as Destinations, with resorts and partners nested inside each destination.</w:t>
      </w:r>
    </w:p>
    <w:p>
      <w:pPr>
        <w:pStyle w:val="ListParagraph"/>
        <w:numPr>
          <w:ilvl w:val="0"/>
          <w:numId w:val="2"/>
        </w:numPr>
        <w:spacing w:after="80" w:line="276"/>
      </w:pPr>
      <w:r>
        <w:rPr>
          <w:rFonts w:ascii="Calibri" w:cs="Calibri" w:eastAsia="Calibri" w:hAnsi="Calibri"/>
          <w:color w:val="2B2338"/>
          <w:sz w:val="21"/>
          <w:szCs w:val="21"/>
        </w:rPr>
        <w:t xml:space="preserve">Meyyafushi atoll corrected from Raa to Lhaviyani, in both languages. Still outstanding.</w:t>
      </w:r>
    </w:p>
    <w:p>
      <w:pPr>
        <w:pStyle w:val="ListParagraph"/>
        <w:numPr>
          <w:ilvl w:val="0"/>
          <w:numId w:val="2"/>
        </w:numPr>
        <w:spacing w:after="80" w:line="276"/>
      </w:pPr>
      <w:r>
        <w:rPr>
          <w:rFonts w:ascii="Calibri" w:cs="Calibri" w:eastAsia="Calibri" w:hAnsi="Calibri"/>
          <w:color w:val="2B2338"/>
          <w:sz w:val="21"/>
          <w:szCs w:val="21"/>
        </w:rPr>
        <w:t xml:space="preserve">Partner logos standardised: transparent backgrounds, one visual style, no coloured backdrops, larger and clickable through to each partner site. Blocked on receiving web-format files.</w:t>
      </w:r>
    </w:p>
    <w:p>
      <w:pPr>
        <w:pStyle w:val="ListParagraph"/>
        <w:numPr>
          <w:ilvl w:val="0"/>
          <w:numId w:val="2"/>
        </w:numPr>
        <w:spacing w:after="80" w:line="276"/>
      </w:pPr>
      <w:r>
        <w:rPr>
          <w:rFonts w:ascii="Calibri" w:cs="Calibri" w:eastAsia="Calibri" w:hAnsi="Calibri"/>
          <w:color w:val="2B2338"/>
          <w:sz w:val="21"/>
          <w:szCs w:val="21"/>
        </w:rPr>
        <w:t xml:space="preserve">The Russian and English form asymmetry confirmed as deliberate: Russian carries the full sign-up form, English shows a contact block.</w:t>
      </w:r>
    </w:p>
    <w:p>
      <w:pPr>
        <w:pStyle w:val="ListParagraph"/>
        <w:numPr>
          <w:ilvl w:val="0"/>
          <w:numId w:val="2"/>
        </w:numPr>
        <w:spacing w:after="80" w:line="276"/>
      </w:pPr>
      <w:r>
        <w:rPr>
          <w:rFonts w:ascii="Calibri" w:cs="Calibri" w:eastAsia="Calibri" w:hAnsi="Calibri"/>
          <w:color w:val="2B2338"/>
          <w:sz w:val="21"/>
          <w:szCs w:val="21"/>
        </w:rPr>
        <w:t xml:space="preserve">Page banner gradient restored across all pages, extracted into a shared component so it cannot drift again.</w:t>
      </w:r>
    </w:p>
    <w:p>
      <w:pPr>
        <w:pStyle w:val="ListParagraph"/>
        <w:numPr>
          <w:ilvl w:val="0"/>
          <w:numId w:val="2"/>
        </w:numPr>
        <w:spacing w:after="80" w:line="276"/>
      </w:pPr>
      <w:r>
        <w:rPr>
          <w:rFonts w:ascii="Calibri" w:cs="Calibri" w:eastAsia="Calibri" w:hAnsi="Calibri"/>
          <w:color w:val="2B2338"/>
          <w:sz w:val="21"/>
          <w:szCs w:val="21"/>
        </w:rPr>
        <w:t xml:space="preserve">The About value grid elevated with distinct iconography, a bento layout, a focal card and choreographed motion. Flagged as a client priority.</w:t>
      </w:r>
    </w:p>
    <w:p>
      <w:pPr>
        <w:pStyle w:val="ListParagraph"/>
        <w:numPr>
          <w:ilvl w:val="0"/>
          <w:numId w:val="2"/>
        </w:numPr>
        <w:spacing w:after="80" w:line="276"/>
      </w:pPr>
      <w:r>
        <w:rPr>
          <w:rFonts w:ascii="Calibri" w:cs="Calibri" w:eastAsia="Calibri" w:hAnsi="Calibri"/>
          <w:color w:val="2B2338"/>
          <w:sz w:val="21"/>
          <w:szCs w:val="21"/>
        </w:rPr>
        <w:t xml:space="preserve">Security work applied: headers and content security policy, rate limiting on all form routes, upload validation with magic-byte checks and private storage, input validation, dependency scanning and content portal repository hygiene.</w:t>
      </w:r>
    </w:p>
    <w:p>
      <w:pPr>
        <w:pStyle w:val="ListParagraph"/>
        <w:numPr>
          <w:ilvl w:val="0"/>
          <w:numId w:val="2"/>
        </w:numPr>
        <w:spacing w:after="80" w:line="276"/>
      </w:pPr>
      <w:r>
        <w:rPr>
          <w:rFonts w:ascii="Calibri" w:cs="Calibri" w:eastAsia="Calibri" w:hAnsi="Calibri"/>
          <w:color w:val="2B2338"/>
          <w:sz w:val="21"/>
          <w:szCs w:val="21"/>
        </w:rPr>
        <w:t xml:space="preserve">Handover package prepared as a zip with all secrets scrubbed, since the client is hosting.</w:t>
      </w:r>
    </w:p>
    <w:p>
      <w:pPr>
        <w:pStyle w:val="Heading1"/>
        <w:spacing w:after="140" w:before="360"/>
      </w:pPr>
      <w:r>
        <w:rPr>
          <w:rFonts w:ascii="Calibri" w:cs="Calibri" w:eastAsia="Calibri" w:hAnsi="Calibri"/>
          <w:b/>
          <w:bCs/>
          <w:color w:val="3E2C55"/>
          <w:sz w:val="30"/>
          <w:szCs w:val="30"/>
        </w:rPr>
        <w:t xml:space="preserve">9. How the build is sequenced</w:t>
      </w:r>
    </w:p>
    <w:p>
      <w:pPr>
        <w:spacing w:after="120" w:before="0" w:line="276"/>
      </w:pPr>
      <w:r>
        <w:rPr>
          <w:rFonts w:ascii="Calibri" w:cs="Calibri" w:eastAsia="Calibri" w:hAnsi="Calibri"/>
          <w:color w:val="2B2338"/>
          <w:sz w:val="21"/>
          <w:szCs w:val="21"/>
        </w:rPr>
        <w:t xml:space="preserve">BUILD-PLAN.md contains 31 numbered work orders grouped into nine phases: foundations, data model and content structure, positioning and copy, tour detail sections, cases, contacts and forms, design and motion, portal and security, and final verification.</w:t>
      </w:r>
    </w:p>
    <w:p>
      <w:pPr>
        <w:spacing w:after="120" w:before="0" w:line="276"/>
      </w:pPr>
      <w:r>
        <w:rPr>
          <w:rFonts w:ascii="Calibri" w:cs="Calibri" w:eastAsia="Calibri" w:hAnsi="Calibri"/>
          <w:color w:val="2B2338"/>
          <w:sz w:val="21"/>
          <w:szCs w:val="21"/>
        </w:rPr>
        <w:t xml:space="preserve">Each work order is self-contained. It states its origin round, the files it touches, the steps to take, what counts as acceptance, and how to verify it. Work orders blocked on missing assets are marked as such and can be skipped without stalling the sequence. A shared guardrails section at the top of the file carries the rules that apply to every order: naming, copy style, the design system, the deliberate locale asymmetry and the verification requirements.</w:t>
      </w:r>
    </w:p>
    <w:p>
      <w:pPr>
        <w:spacing w:after="120" w:before="0" w:line="276"/>
      </w:pPr>
      <w:r>
        <w:rPr>
          <w:rFonts w:ascii="Calibri" w:cs="Calibri" w:eastAsia="Calibri" w:hAnsi="Calibri"/>
          <w:color w:val="2B2338"/>
          <w:sz w:val="21"/>
          <w:szCs w:val="21"/>
        </w:rPr>
        <w:t xml:space="preserve">This structure exists so the build proceeds section by section with a clear check at the end of each step, rather than as one large pass that is difficult to review.</w:t>
      </w:r>
    </w:p>
    <w:p>
      <w:pPr>
        <w:pageBreakBefore/>
        <w:spacing w:after="0"/>
      </w:pPr>
    </w:p>
    <w:p>
      <w:pPr>
        <w:pStyle w:val="Heading1"/>
        <w:spacing w:after="140" w:before="360"/>
      </w:pPr>
      <w:r>
        <w:rPr>
          <w:rFonts w:ascii="Calibri" w:cs="Calibri" w:eastAsia="Calibri" w:hAnsi="Calibri"/>
          <w:b/>
          <w:bCs/>
          <w:color w:val="3E2C55"/>
          <w:sz w:val="30"/>
          <w:szCs w:val="30"/>
        </w:rPr>
        <w:t xml:space="preserve">Appendix A: audience copy</w:t>
      </w:r>
    </w:p>
    <w:p>
      <w:pPr>
        <w:spacing w:after="120" w:before="0" w:line="276"/>
      </w:pPr>
      <w:r>
        <w:rPr>
          <w:rFonts w:ascii="Calibri" w:cs="Calibri" w:eastAsia="Calibri" w:hAnsi="Calibri"/>
          <w:color w:val="2B2338"/>
          <w:sz w:val="21"/>
          <w:szCs w:val="21"/>
        </w:rPr>
        <w:t xml:space="preserve">English copy is taken near-verbatim from the client’s own wording in the 1 August feedback document. Russian is translated from it. House style applies: no em dashes.</w:t>
      </w:r>
    </w:p>
    <w:p>
      <w:pPr>
        <w:pStyle w:val="Heading3"/>
        <w:spacing w:after="140" w:before="240"/>
      </w:pPr>
      <w:r>
        <w:rPr>
          <w:rFonts w:ascii="Calibri" w:cs="Calibri" w:eastAsia="Calibri" w:hAnsi="Calibri"/>
          <w:b/>
          <w:bCs/>
          <w:color w:val="6E4FA3"/>
          <w:sz w:val="22"/>
          <w:szCs w:val="22"/>
        </w:rPr>
        <w:t xml:space="preserve">A.1 Participants, key message</w:t>
      </w:r>
    </w:p>
    <w:p>
      <w:pPr>
        <w:spacing w:after="120" w:before="0" w:line="276"/>
      </w:pPr>
      <w:r>
        <w:rPr>
          <w:rFonts w:ascii="Calibri" w:cs="Calibri" w:eastAsia="Calibri" w:hAnsi="Calibri"/>
          <w:i/>
          <w:iCs/>
          <w:color w:val="2B2338"/>
          <w:sz w:val="21"/>
          <w:szCs w:val="21"/>
        </w:rPr>
        <w:t xml:space="preserve">EN: Participants do not simply visit a destination. They experience it, understand it, and return with knowledge, inspiration and the tools to promote it effectively to their audience and clients.</w:t>
      </w:r>
    </w:p>
    <w:p>
      <w:pPr>
        <w:spacing w:after="120" w:before="0" w:line="276"/>
      </w:pPr>
      <w:r>
        <w:rPr>
          <w:rFonts w:ascii="Calibri" w:cs="Calibri" w:eastAsia="Calibri" w:hAnsi="Calibri"/>
          <w:i/>
          <w:iCs/>
          <w:color w:val="2B2338"/>
          <w:sz w:val="21"/>
          <w:szCs w:val="21"/>
        </w:rPr>
        <w:t xml:space="preserve">RU: Участники не просто посещают направление. Они проживают его, понимают его и возвращаются со знаниями, вдохновением и инструментами для эффективного продвижения среди своей аудитории и клиентов.</w:t>
      </w:r>
    </w:p>
    <w:p>
      <w:pPr>
        <w:pStyle w:val="Heading3"/>
        <w:spacing w:after="140" w:before="240"/>
      </w:pPr>
      <w:r>
        <w:rPr>
          <w:rFonts w:ascii="Calibri" w:cs="Calibri" w:eastAsia="Calibri" w:hAnsi="Calibri"/>
          <w:b/>
          <w:bCs/>
          <w:color w:val="6E4FA3"/>
          <w:sz w:val="22"/>
          <w:szCs w:val="22"/>
        </w:rPr>
        <w:t xml:space="preserve">A.2 Hotels, resorts and destinations, key message</w:t>
      </w:r>
    </w:p>
    <w:p>
      <w:pPr>
        <w:spacing w:after="120" w:before="0" w:line="276"/>
      </w:pPr>
      <w:r>
        <w:rPr>
          <w:rFonts w:ascii="Calibri" w:cs="Calibri" w:eastAsia="Calibri" w:hAnsi="Calibri"/>
          <w:i/>
          <w:iCs/>
          <w:color w:val="2B2338"/>
          <w:sz w:val="21"/>
          <w:szCs w:val="21"/>
        </w:rPr>
        <w:t xml:space="preserve">EN: Hotels and destinations receive more than a traditional FAM trip. They receive a structured promotion process, professional content, qualified partners and measurable business results.</w:t>
      </w:r>
    </w:p>
    <w:p>
      <w:pPr>
        <w:spacing w:after="120" w:before="0" w:line="276"/>
      </w:pPr>
      <w:r>
        <w:rPr>
          <w:rFonts w:ascii="Calibri" w:cs="Calibri" w:eastAsia="Calibri" w:hAnsi="Calibri"/>
          <w:i/>
          <w:iCs/>
          <w:color w:val="2B2338"/>
          <w:sz w:val="21"/>
          <w:szCs w:val="21"/>
        </w:rPr>
        <w:t xml:space="preserve">RU: Отели и направления получают больше, чем традиционный ознакомительный тур. Они получают выстроенный процесс продвижения, профессиональный контент, квалифицированных партнёров и измеримые бизнес-результаты.</w:t>
      </w:r>
    </w:p>
    <w:p>
      <w:pPr>
        <w:pStyle w:val="Heading3"/>
        <w:spacing w:after="140" w:before="240"/>
      </w:pPr>
      <w:r>
        <w:rPr>
          <w:rFonts w:ascii="Calibri" w:cs="Calibri" w:eastAsia="Calibri" w:hAnsi="Calibri"/>
          <w:b/>
          <w:bCs/>
          <w:color w:val="6E4FA3"/>
          <w:sz w:val="22"/>
          <w:szCs w:val="22"/>
        </w:rPr>
        <w:t xml:space="preserve">A.3 Differentiator, lead statement</w:t>
      </w:r>
    </w:p>
    <w:p>
      <w:pPr>
        <w:spacing w:after="120" w:before="0" w:line="276"/>
      </w:pPr>
      <w:r>
        <w:rPr>
          <w:rFonts w:ascii="Calibri" w:cs="Calibri" w:eastAsia="Calibri" w:hAnsi="Calibri"/>
          <w:i/>
          <w:iCs/>
          <w:color w:val="2B2338"/>
          <w:sz w:val="21"/>
          <w:szCs w:val="21"/>
        </w:rPr>
        <w:t xml:space="preserve">EN: We Present is not a traditional familiarisation trip. Unlike traditional FAM trips, where participants visit many hotels and locations in a short period of time and receive only a general impression, We Present focuses on deep product knowledge, destination immersion, meaningful professional experience, long-term cooperation and measurable results.</w:t>
      </w:r>
    </w:p>
    <w:p>
      <w:pPr>
        <w:spacing w:after="120" w:before="0" w:line="276"/>
      </w:pPr>
      <w:r>
        <w:rPr>
          <w:rFonts w:ascii="Calibri" w:cs="Calibri" w:eastAsia="Calibri" w:hAnsi="Calibri"/>
          <w:i/>
          <w:iCs/>
          <w:color w:val="2B2338"/>
          <w:sz w:val="21"/>
          <w:szCs w:val="21"/>
        </w:rPr>
        <w:t xml:space="preserve">RU: We Present не является традиционным ознакомительным туром. В отличие от классических FAM-туров, где участники за короткое время посещают множество отелей и локаций и получают лишь общее впечатление, We Present делает акцент на глубоком знании продукта, погружении в направление, содержательном профессиональном опыте, долгосрочном сотрудничестве и измеримых результатах.</w:t>
      </w:r>
    </w:p>
    <w:p>
      <w:pPr>
        <w:pStyle w:val="Heading1"/>
        <w:spacing w:after="140" w:before="360"/>
      </w:pPr>
      <w:r>
        <w:rPr>
          <w:rFonts w:ascii="Calibri" w:cs="Calibri" w:eastAsia="Calibri" w:hAnsi="Calibri"/>
          <w:b/>
          <w:bCs/>
          <w:color w:val="3E2C55"/>
          <w:sz w:val="30"/>
          <w:szCs w:val="30"/>
        </w:rPr>
        <w:t xml:space="preserve">Appendix B: tour detail copy</w:t>
      </w:r>
    </w:p>
    <w:p>
      <w:pPr>
        <w:pStyle w:val="Heading3"/>
        <w:spacing w:after="140" w:before="240"/>
      </w:pPr>
      <w:r>
        <w:rPr>
          <w:rFonts w:ascii="Calibri" w:cs="Calibri" w:eastAsia="Calibri" w:hAnsi="Calibri"/>
          <w:b/>
          <w:bCs/>
          <w:color w:val="6E4FA3"/>
          <w:sz w:val="22"/>
          <w:szCs w:val="22"/>
        </w:rPr>
        <w:t xml:space="preserve">B.1 What’s Included, fine print</w:t>
      </w:r>
    </w:p>
    <w:p>
      <w:pPr>
        <w:spacing w:after="120" w:before="0" w:line="276"/>
      </w:pPr>
      <w:r>
        <w:rPr>
          <w:rFonts w:ascii="Calibri" w:cs="Calibri" w:eastAsia="Calibri" w:hAnsi="Calibri"/>
          <w:i/>
          <w:iCs/>
          <w:color w:val="2B2338"/>
          <w:sz w:val="21"/>
          <w:szCs w:val="21"/>
        </w:rPr>
        <w:t xml:space="preserve">EN: Single-room accommodation is available at an additional charge on request. International flights and travel insurance are arranged independently by participants. Exact inclusions are confirmed at registration for each tour.</w:t>
      </w:r>
    </w:p>
    <w:p>
      <w:pPr>
        <w:spacing w:after="120" w:before="0" w:line="276"/>
      </w:pPr>
      <w:r>
        <w:rPr>
          <w:rFonts w:ascii="Calibri" w:cs="Calibri" w:eastAsia="Calibri" w:hAnsi="Calibri"/>
          <w:i/>
          <w:iCs/>
          <w:color w:val="2B2338"/>
          <w:sz w:val="21"/>
          <w:szCs w:val="21"/>
        </w:rPr>
        <w:t xml:space="preserve">RU: Одноместное размещение доступно за дополнительную плату по запросу. Международные перелёты и страховку участники организуют самостоятельно. Точный состав включённых услуг подтверждается при регистрации на каждый тур.</w:t>
      </w:r>
    </w:p>
    <w:p>
      <w:pPr>
        <w:pStyle w:val="Heading3"/>
        <w:spacing w:after="140" w:before="240"/>
      </w:pPr>
      <w:r>
        <w:rPr>
          <w:rFonts w:ascii="Calibri" w:cs="Calibri" w:eastAsia="Calibri" w:hAnsi="Calibri"/>
          <w:b/>
          <w:bCs/>
          <w:color w:val="6E4FA3"/>
          <w:sz w:val="22"/>
          <w:szCs w:val="22"/>
        </w:rPr>
        <w:t xml:space="preserve">B.2 On-site programme,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English</w:t>
            </w:r>
          </w:p>
        </w:tc>
        <w:tc>
          <w:tcPr>
            <w:tcW w:type="dxa" w:w="468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Russian</w:t>
            </w:r>
          </w:p>
        </w:tc>
      </w:tr>
      <w:tr>
        <w:trPr>
          <w:tblHeader w:val="false"/>
        </w:trPr>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Hotel inspection</w:t>
            </w:r>
          </w:p>
        </w:tc>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Инспекция отеля</w:t>
            </w:r>
          </w:p>
        </w:tc>
      </w:tr>
      <w:tr>
        <w:trPr>
          <w:tblHeader w:val="false"/>
        </w:trPr>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Meetings with the hotel management team</w:t>
            </w:r>
          </w:p>
        </w:tc>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Встречи с управленческой командой отеля</w:t>
            </w:r>
          </w:p>
        </w:tc>
      </w:tr>
      <w:tr>
        <w:trPr>
          <w:tblHeader w:val="false"/>
        </w:trPr>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An engaging business and networking programme</w:t>
            </w:r>
          </w:p>
        </w:tc>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Насыщенная деловая и нетворкинг-программа</w:t>
            </w:r>
          </w:p>
        </w:tc>
      </w:tr>
      <w:tr>
        <w:trPr>
          <w:tblHeader w:val="false"/>
        </w:trPr>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Unique content-creation opportunities</w:t>
            </w:r>
          </w:p>
        </w:tc>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Уникальные возможности для создания контента</w:t>
            </w:r>
          </w:p>
        </w:tc>
      </w:tr>
      <w:tr>
        <w:trPr>
          <w:tblHeader w:val="false"/>
        </w:trPr>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Destination updates and product information</w:t>
            </w:r>
          </w:p>
        </w:tc>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Обновления по направлению и информация о продукте</w:t>
            </w:r>
          </w:p>
        </w:tc>
      </w:tr>
      <w:tr>
        <w:trPr>
          <w:tblHeader w:val="false"/>
        </w:trPr>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Brainstorming sessions with industry colleagues on resort promotion and sales development</w:t>
            </w:r>
          </w:p>
        </w:tc>
        <w:tc>
          <w:tcPr>
            <w:tcW w:type="dxa" w:w="468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Мозговые штурмы с коллегами по отрасли по продвижению курорта и развитию продаж</w:t>
            </w:r>
          </w:p>
        </w:tc>
      </w:tr>
    </w:tbl>
    <w:p>
      <w:pPr>
        <w:spacing w:after="160"/>
      </w:pPr>
    </w:p>
    <w:p>
      <w:pPr>
        <w:spacing w:after="120" w:before="0" w:line="276"/>
      </w:pPr>
      <w:r>
        <w:rPr>
          <w:rFonts w:ascii="Calibri" w:cs="Calibri" w:eastAsia="Calibri" w:hAnsi="Calibri"/>
          <w:color w:val="2B2338"/>
          <w:sz w:val="21"/>
          <w:szCs w:val="21"/>
        </w:rPr>
        <w:t xml:space="preserve">Default title, editable per tour. EN: At every hotel you will enjoy. RU: В каждом отеле вас ждёт.</w:t>
      </w:r>
    </w:p>
    <w:p>
      <w:pPr>
        <w:pageBreakBefore/>
        <w:spacing w:after="0"/>
      </w:pPr>
    </w:p>
    <w:p>
      <w:pPr>
        <w:pStyle w:val="Heading1"/>
        <w:spacing w:after="140" w:before="360"/>
      </w:pPr>
      <w:r>
        <w:rPr>
          <w:rFonts w:ascii="Calibri" w:cs="Calibri" w:eastAsia="Calibri" w:hAnsi="Calibri"/>
          <w:b/>
          <w:bCs/>
          <w:color w:val="3E2C55"/>
          <w:sz w:val="30"/>
          <w:szCs w:val="30"/>
        </w:rPr>
        <w:t xml:space="preserve">Appendix C: case content inventory</w:t>
      </w:r>
    </w:p>
    <w:p>
      <w:pPr>
        <w:spacing w:after="120" w:before="0" w:line="276"/>
      </w:pPr>
      <w:r>
        <w:rPr>
          <w:rFonts w:ascii="Calibri" w:cs="Calibri" w:eastAsia="Calibri" w:hAnsi="Calibri"/>
          <w:color w:val="2B2338"/>
          <w:sz w:val="21"/>
          <w:szCs w:val="21"/>
        </w:rPr>
        <w:t xml:space="preserve">Sourced from the three COATI presentations supplied on 1 August 2026. Only delivered work is listed; proposals have been excluded.</w:t>
      </w:r>
    </w:p>
    <w:p>
      <w:pPr>
        <w:pStyle w:val="Heading3"/>
        <w:spacing w:after="140" w:before="240"/>
      </w:pPr>
      <w:r>
        <w:rPr>
          <w:rFonts w:ascii="Calibri" w:cs="Calibri" w:eastAsia="Calibri" w:hAnsi="Calibri"/>
          <w:b/>
          <w:bCs/>
          <w:color w:val="6E4FA3"/>
          <w:sz w:val="22"/>
          <w:szCs w:val="22"/>
        </w:rPr>
        <w:t xml:space="preserve">C.1 Reach and media</w:t>
      </w:r>
    </w:p>
    <w:p>
      <w:pPr>
        <w:pStyle w:val="ListParagraph"/>
        <w:numPr>
          <w:ilvl w:val="0"/>
          <w:numId w:val="2"/>
        </w:numPr>
        <w:spacing w:after="80" w:line="276"/>
      </w:pPr>
      <w:r>
        <w:rPr>
          <w:rFonts w:ascii="Calibri" w:cs="Calibri" w:eastAsia="Calibri" w:hAnsi="Calibri"/>
          <w:color w:val="2B2338"/>
          <w:sz w:val="21"/>
          <w:szCs w:val="21"/>
        </w:rPr>
        <w:t xml:space="preserve">Print: Aeroflot and Kavkaz Air in-flight magazines, Hello!, Flight Line, Redesign, Vash Azimuth, Travel Time, Moda Topical, FB.</w:t>
      </w:r>
    </w:p>
    <w:p>
      <w:pPr>
        <w:pStyle w:val="ListParagraph"/>
        <w:numPr>
          <w:ilvl w:val="0"/>
          <w:numId w:val="2"/>
        </w:numPr>
        <w:spacing w:after="80" w:line="276"/>
      </w:pPr>
      <w:r>
        <w:rPr>
          <w:rFonts w:ascii="Calibri" w:cs="Calibri" w:eastAsia="Calibri" w:hAnsi="Calibri"/>
          <w:color w:val="2B2338"/>
          <w:sz w:val="21"/>
          <w:szCs w:val="21"/>
        </w:rPr>
        <w:t xml:space="preserve">Digital: Hello! including a general manager interview, SNOB, Russian Traveller, TTG Russia, Top Hotels, Discovery.</w:t>
      </w:r>
    </w:p>
    <w:p>
      <w:pPr>
        <w:pStyle w:val="ListParagraph"/>
        <w:numPr>
          <w:ilvl w:val="0"/>
          <w:numId w:val="2"/>
        </w:numPr>
        <w:spacing w:after="80" w:line="276"/>
      </w:pPr>
      <w:r>
        <w:rPr>
          <w:rFonts w:ascii="Calibri" w:cs="Calibri" w:eastAsia="Calibri" w:hAnsi="Calibri"/>
          <w:color w:val="2B2338"/>
          <w:sz w:val="21"/>
          <w:szCs w:val="21"/>
        </w:rPr>
        <w:t xml:space="preserve">Radio: Business FM St Petersburg, approximately 300,000 weekly listeners.</w:t>
      </w:r>
    </w:p>
    <w:p>
      <w:pPr>
        <w:pStyle w:val="ListParagraph"/>
        <w:numPr>
          <w:ilvl w:val="0"/>
          <w:numId w:val="2"/>
        </w:numPr>
        <w:spacing w:after="80" w:line="276"/>
      </w:pPr>
      <w:r>
        <w:rPr>
          <w:rFonts w:ascii="Calibri" w:cs="Calibri" w:eastAsia="Calibri" w:hAnsi="Calibri"/>
          <w:color w:val="2B2338"/>
          <w:sz w:val="21"/>
          <w:szCs w:val="21"/>
        </w:rPr>
        <w:t xml:space="preserve">Influencers and celebrities: Regina Todorenko (7.7M), Katya Lel, Anna Semenovich, Anastasia Volochkova, Tatyana Chuprova (735K), momsmile (612K).</w:t>
      </w:r>
    </w:p>
    <w:p>
      <w:pPr>
        <w:pStyle w:val="ListParagraph"/>
        <w:numPr>
          <w:ilvl w:val="0"/>
          <w:numId w:val="2"/>
        </w:numPr>
        <w:spacing w:after="80" w:line="276"/>
      </w:pPr>
      <w:r>
        <w:rPr>
          <w:rFonts w:ascii="Calibri" w:cs="Calibri" w:eastAsia="Calibri" w:hAnsi="Calibri"/>
          <w:color w:val="2B2338"/>
          <w:sz w:val="21"/>
          <w:szCs w:val="21"/>
        </w:rPr>
        <w:t xml:space="preserve">Events: 1,000 or more agents reached annually, 100 or more new partners after each roadshow, 90% of seminar attendees become more active sellers.</w:t>
      </w:r>
    </w:p>
    <w:p>
      <w:pPr>
        <w:pStyle w:val="ListParagraph"/>
        <w:numPr>
          <w:ilvl w:val="0"/>
          <w:numId w:val="2"/>
        </w:numPr>
        <w:spacing w:after="80" w:line="276"/>
      </w:pPr>
      <w:r>
        <w:rPr>
          <w:rFonts w:ascii="Calibri" w:cs="Calibri" w:eastAsia="Calibri" w:hAnsi="Calibri"/>
          <w:color w:val="2B2338"/>
          <w:sz w:val="21"/>
          <w:szCs w:val="21"/>
        </w:rPr>
        <w:t xml:space="preserve">Network: 15,000 or more agents in the database, Telegram 4,500 subscribers, Instagram 2,500 subscribers.</w:t>
      </w:r>
    </w:p>
    <w:p>
      <w:pPr>
        <w:pStyle w:val="ListParagraph"/>
        <w:numPr>
          <w:ilvl w:val="0"/>
          <w:numId w:val="2"/>
        </w:numPr>
        <w:spacing w:after="80" w:line="276"/>
      </w:pPr>
      <w:r>
        <w:rPr>
          <w:rFonts w:ascii="Calibri" w:cs="Calibri" w:eastAsia="Calibri" w:hAnsi="Calibri"/>
          <w:color w:val="2B2338"/>
          <w:sz w:val="21"/>
          <w:szCs w:val="21"/>
        </w:rPr>
        <w:t xml:space="preserve">Digital and OTA: Yandex Travel, holding 28.85% of the Russian OTA market in 2025; joint campaign with Sletat.ru, 500 branded offices and 2.5 million tour searches daily.</w:t>
      </w:r>
    </w:p>
    <w:p>
      <w:pPr>
        <w:pStyle w:val="Heading3"/>
        <w:spacing w:after="140" w:before="240"/>
      </w:pPr>
      <w:r>
        <w:rPr>
          <w:rFonts w:ascii="Calibri" w:cs="Calibri" w:eastAsia="Calibri" w:hAnsi="Calibri"/>
          <w:b/>
          <w:bCs/>
          <w:color w:val="6E4FA3"/>
          <w:sz w:val="22"/>
          <w:szCs w:val="22"/>
        </w:rPr>
        <w:t xml:space="preserve">C.2 Stat rail</w:t>
      </w:r>
    </w:p>
    <w:p>
      <w:pPr>
        <w:spacing w:after="120" w:before="0" w:line="276"/>
      </w:pPr>
      <w:r>
        <w:rPr>
          <w:rFonts w:ascii="Calibri" w:cs="Calibri" w:eastAsia="Calibri" w:hAnsi="Calibri"/>
          <w:color w:val="2B2338"/>
          <w:sz w:val="21"/>
          <w:szCs w:val="21"/>
        </w:rPr>
        <w:t xml:space="preserve">Three figures only: 19,854 room nights delivered; 15,000+ agents in network; 11 years in market.</w:t>
      </w:r>
    </w:p>
    <w:p>
      <w:pPr>
        <w:pStyle w:val="Heading1"/>
        <w:spacing w:after="140" w:before="360"/>
      </w:pPr>
      <w:r>
        <w:rPr>
          <w:rFonts w:ascii="Calibri" w:cs="Calibri" w:eastAsia="Calibri" w:hAnsi="Calibri"/>
          <w:b/>
          <w:bCs/>
          <w:color w:val="3E2C55"/>
          <w:sz w:val="30"/>
          <w:szCs w:val="30"/>
        </w:rPr>
        <w:t xml:space="preserve">Appendix D: open points and assets</w:t>
      </w:r>
    </w:p>
    <w:p>
      <w:pPr>
        <w:pStyle w:val="Heading3"/>
        <w:spacing w:after="140" w:before="240"/>
      </w:pPr>
      <w:r>
        <w:rPr>
          <w:rFonts w:ascii="Calibri" w:cs="Calibri" w:eastAsia="Calibri" w:hAnsi="Calibri"/>
          <w:b/>
          <w:bCs/>
          <w:color w:val="6E4FA3"/>
          <w:sz w:val="22"/>
          <w:szCs w:val="22"/>
        </w:rPr>
        <w:t xml:space="preserve">D.1 To confirm with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Item</w:t>
            </w:r>
          </w:p>
        </w:tc>
        <w:tc>
          <w:tcPr>
            <w:tcW w:type="dxa" w:w="716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Detail</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Inclusions</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The included and not-included split needs fact-checking. Included: accommodation, dining, transfers, exclusive programme. Not included: international flights, TTM entry, insurance, visa.</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PDF languages</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Russian only, or Russian and English?</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TTM Tier 1 and Tier 2</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Naming for the two August tours, unconfirmed since round 1.</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Tour dates</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Cinnamon, Oman and Kenya.</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Oman and Kenya content</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Itinerary, lodge roster, imagery and partner permissions.</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Oman ministry</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Whether the representation may be published as a case, and whether the ministry logo may be used.</w:t>
            </w:r>
          </w:p>
        </w:tc>
      </w:tr>
      <w:tr>
        <w:trPr>
          <w:tblHeader w:val="false"/>
        </w:trPr>
        <w:tc>
          <w:tcPr>
            <w:tcW w:type="dxa" w:w="22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Production email</w:t>
            </w:r>
          </w:p>
        </w:tc>
        <w:tc>
          <w:tcPr>
            <w:tcW w:type="dxa" w:w="71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Pending the hosting decision.</w:t>
            </w:r>
          </w:p>
        </w:tc>
      </w:tr>
    </w:tbl>
    <w:p>
      <w:pPr>
        <w:spacing w:after="160"/>
      </w:pPr>
    </w:p>
    <w:p>
      <w:pPr>
        <w:pStyle w:val="Heading3"/>
        <w:spacing w:after="140" w:before="240"/>
      </w:pPr>
      <w:r>
        <w:rPr>
          <w:rFonts w:ascii="Calibri" w:cs="Calibri" w:eastAsia="Calibri" w:hAnsi="Calibri"/>
          <w:b/>
          <w:bCs/>
          <w:color w:val="6E4FA3"/>
          <w:sz w:val="22"/>
          <w:szCs w:val="22"/>
        </w:rPr>
        <w:t xml:space="preserve">D.2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Asset</w:t>
            </w:r>
          </w:p>
        </w:tc>
        <w:tc>
          <w:tcPr>
            <w:tcW w:type="dxa" w:w="6360"/>
            <w:shd w:fill="F3ECFB" w:color="auto" w:val="clear"/>
            <w:tcMar>
              <w:top w:type="dxa" w:w="80"/>
              <w:left w:type="dxa" w:w="110"/>
              <w:bottom w:type="dxa" w:w="80"/>
              <w:right w:type="dxa" w:w="110"/>
            </w:tcMar>
          </w:tcPr>
          <w:p>
            <w:pPr>
              <w:spacing w:after="40" w:line="260"/>
            </w:pPr>
            <w:r>
              <w:rPr>
                <w:rFonts w:ascii="Calibri" w:cs="Calibri" w:eastAsia="Calibri" w:hAnsi="Calibri"/>
                <w:b/>
                <w:bCs/>
                <w:color w:val="3E2C55"/>
                <w:sz w:val="19"/>
                <w:szCs w:val="19"/>
              </w:rPr>
              <w:t xml:space="preserve">Status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We Present logo (SVG)</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Received 1 August 2026. Needs cropping, background removal and colour variants.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Homepage photograph</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Received. Destination-neutral aerial ocean image.</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COATI presentations (3)</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Received 1 August 2026. Source material for cases.</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Partner logos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Outstanding. Supplied as .ai and .psd, which are not web formats. SVG or transparent PNG required.</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Programme PDFs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Outstanding. Client producing.</w:t>
            </w:r>
          </w:p>
        </w:tc>
      </w:tr>
      <w:tr>
        <w:trPr>
          <w:tblHeader w:val="false"/>
        </w:trPr>
        <w:tc>
          <w:tcPr>
            <w:tcW w:type="dxa" w:w="300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Oman and Kenya imagery and rosters</w:t>
            </w:r>
          </w:p>
        </w:tc>
        <w:tc>
          <w:tcPr>
            <w:tcW w:type="dxa" w:w="6360"/>
            <w:tcMar>
              <w:top w:type="dxa" w:w="80"/>
              <w:left w:type="dxa" w:w="110"/>
              <w:bottom w:type="dxa" w:w="80"/>
              <w:right w:type="dxa" w:w="110"/>
            </w:tcMar>
          </w:tcPr>
          <w:p>
            <w:pPr>
              <w:spacing w:after="40" w:line="260"/>
            </w:pPr>
            <w:r>
              <w:rPr>
                <w:rFonts w:ascii="Calibri" w:cs="Calibri" w:eastAsia="Calibri" w:hAnsi="Calibri"/>
                <w:b w:val="false"/>
                <w:bCs w:val="false"/>
                <w:color w:val="2B2338"/>
                <w:sz w:val="19"/>
                <w:szCs w:val="19"/>
              </w:rPr>
              <w:t xml:space="preserve">Outstanding.</w:t>
            </w:r>
          </w:p>
        </w:tc>
      </w:tr>
    </w:tbl>
    <w:p>
      <w:pPr>
        <w:spacing w:after="240"/>
      </w:pPr>
    </w:p>
    <w:p>
      <w:pPr>
        <w:spacing w:after="120" w:before="0" w:line="276"/>
      </w:pPr>
      <w:r>
        <w:rPr>
          <w:rFonts w:ascii="Calibri" w:cs="Calibri" w:eastAsia="Calibri" w:hAnsi="Calibri"/>
          <w:b/>
          <w:bCs/>
          <w:color w:val="6E4FA3"/>
          <w:sz w:val="21"/>
          <w:szCs w:val="21"/>
        </w:rPr>
        <w:t xml:space="preserve">End of Specification v2.1.</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WePresent by COATI - Website Technical Specification v2.1</dc:title>
  <dc:creator>COATI Global Sales Agency</dc:creator>
  <cp:lastModifiedBy>Un-named</cp:lastModifiedBy>
  <cp:revision>1</cp:revision>
  <dcterms:created xsi:type="dcterms:W3CDTF">2026-08-01T00:39:47.800Z</dcterms:created>
  <dcterms:modified xsi:type="dcterms:W3CDTF">2026-08-01T00:39:47.800Z</dcterms:modified>
</cp:coreProperties>
</file>

<file path=docProps/custom.xml><?xml version="1.0" encoding="utf-8"?>
<Properties xmlns="http://schemas.openxmlformats.org/officeDocument/2006/custom-properties" xmlns:vt="http://schemas.openxmlformats.org/officeDocument/2006/docPropsVTypes"/>
</file>