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i w:val="false"/>
          <w:iCs w:val="false"/>
          <w:color w:val="3E2C55"/>
          <w:sz w:val="44"/>
          <w:szCs w:val="44"/>
        </w:rPr>
        <w:t xml:space="preserve">WE PRESENT</w:t>
      </w:r>
    </w:p>
    <w:p>
      <w:pPr>
        <w:spacing w:after="200" w:before="0" w:line="276"/>
      </w:pPr>
      <w:r>
        <w:rPr>
          <w:rFonts w:ascii="Calibri" w:cs="Calibri" w:eastAsia="Calibri" w:hAnsi="Calibri"/>
          <w:b/>
          <w:bCs/>
          <w:i w:val="false"/>
          <w:iCs w:val="false"/>
          <w:color w:val="6E4FA3"/>
          <w:sz w:val="26"/>
          <w:szCs w:val="26"/>
        </w:rPr>
        <w:t xml:space="preserve">by COATI</w:t>
      </w:r>
    </w:p>
    <w:p>
      <w:pPr>
        <w:spacing w:after="60" w:before="0" w:line="276"/>
      </w:pPr>
      <w:r>
        <w:rPr>
          <w:rFonts w:ascii="Calibri" w:cs="Calibri" w:eastAsia="Calibri" w:hAnsi="Calibri"/>
          <w:b/>
          <w:bCs/>
          <w:i w:val="false"/>
          <w:iCs w:val="false"/>
          <w:color w:val="3E2C55"/>
          <w:sz w:val="30"/>
          <w:szCs w:val="30"/>
        </w:rPr>
        <w:t xml:space="preserve">Website Technical Specification</w:t>
      </w:r>
    </w:p>
    <w:p>
      <w:pPr>
        <w:spacing w:after="200" w:before="0" w:line="276"/>
      </w:pPr>
      <w:r>
        <w:rPr>
          <w:rFonts w:ascii="Calibri" w:cs="Calibri" w:eastAsia="Calibri" w:hAnsi="Calibri"/>
          <w:b w:val="false"/>
          <w:bCs w:val="false"/>
          <w:i w:val="false"/>
          <w:iCs w:val="false"/>
          <w:color w:val="6E4FA3"/>
          <w:sz w:val="22"/>
          <w:szCs w:val="22"/>
        </w:rPr>
        <w:t xml:space="preserve">Round 5: the We Present Workshop, Tour 2 confirmed, office contacts, and the scope boundary on registration management</w:t>
      </w:r>
    </w:p>
    <w:p>
      <w:pPr>
        <w:spacing w:after="40" w:before="0" w:line="276"/>
      </w:pPr>
      <w:r>
        <w:rPr>
          <w:rFonts w:ascii="Calibri" w:cs="Calibri" w:eastAsia="Calibri" w:hAnsi="Calibri"/>
          <w:b w:val="false"/>
          <w:bCs w:val="false"/>
          <w:i w:val="false"/>
          <w:iCs w:val="false"/>
          <w:color w:val="2B2338"/>
          <w:sz w:val="21"/>
          <w:szCs w:val="21"/>
        </w:rPr>
        <w:t xml:space="preserve">Version 2.2 - August 2026</w:t>
      </w:r>
    </w:p>
    <w:p>
      <w:pPr>
        <w:spacing w:after="200" w:before="0" w:line="276"/>
      </w:pPr>
      <w:r>
        <w:rPr>
          <w:rFonts w:ascii="Calibri" w:cs="Calibri" w:eastAsia="Calibri" w:hAnsi="Calibri"/>
          <w:b w:val="false"/>
          <w:bCs w:val="false"/>
          <w:i w:val="false"/>
          <w:iCs w:val="false"/>
          <w:color w:val="2B2338"/>
          <w:sz w:val="21"/>
          <w:szCs w:val="21"/>
        </w:rPr>
        <w:t xml:space="preserve">Prepared for: WePresent by COATI - COATI Global Sales Agency</w:t>
      </w:r>
    </w:p>
    <w:p>
      <w:pPr>
        <w:spacing w:after="200" w:before="0" w:line="276"/>
      </w:pPr>
      <w:r>
        <w:rPr>
          <w:rFonts w:ascii="Calibri" w:cs="Calibri" w:eastAsia="Calibri" w:hAnsi="Calibri"/>
          <w:b/>
          <w:bCs/>
          <w:i w:val="false"/>
          <w:iCs w:val="false"/>
          <w:color w:val="2B2338"/>
          <w:sz w:val="21"/>
          <w:szCs w:val="21"/>
        </w:rPr>
        <w:t xml:space="preserve">How to use this document. </w:t>
      </w:r>
      <w:r>
        <w:rPr>
          <w:rFonts w:ascii="Calibri" w:cs="Calibri" w:eastAsia="Calibri" w:hAnsi="Calibri"/>
          <w:b w:val="false"/>
          <w:bCs w:val="false"/>
          <w:i w:val="false"/>
          <w:iCs w:val="false"/>
          <w:color w:val="2B2338"/>
          <w:sz w:val="21"/>
          <w:szCs w:val="21"/>
        </w:rPr>
        <w:t xml:space="preserve">v2.2 supersedes v2.1. It records what changed in round 5 and corrects the build status, which v2.1 reported before the round 2 to 4 work was actually built. It is not the build document. </w:t>
      </w:r>
      <w:r>
        <w:rPr>
          <w:rFonts w:ascii="Calibri" w:cs="Calibri" w:eastAsia="Calibri" w:hAnsi="Calibri"/>
          <w:b/>
          <w:bCs/>
          <w:i w:val="false"/>
          <w:iCs w:val="false"/>
          <w:color w:val="2B2338"/>
          <w:sz w:val="21"/>
          <w:szCs w:val="21"/>
        </w:rPr>
        <w:t xml:space="preserve">BUILD-PLAN.md</w:t>
      </w:r>
      <w:r>
        <w:rPr>
          <w:rFonts w:ascii="Calibri" w:cs="Calibri" w:eastAsia="Calibri" w:hAnsi="Calibri"/>
          <w:b w:val="false"/>
          <w:bCs w:val="false"/>
          <w:i w:val="false"/>
          <w:iCs w:val="false"/>
          <w:color w:val="2B2338"/>
          <w:sz w:val="21"/>
          <w:szCs w:val="21"/>
        </w:rPr>
        <w:t xml:space="preserve"> in the repository is the execution document: the same scope broken into numbered, self-contained work orders with files, acceptance criteria and verification steps. Hand over both together. Where the two differ, BUILD-PLAN.md is authoritative on implementation detail and this document is authoritative on intent and client-agreed content. Tags: NEW / CHANGED / FIX / CLOSED.</w:t>
      </w:r>
    </w:p>
    <w:p>
      <w:pPr>
        <w:pStyle w:val="Heading1"/>
        <w:spacing w:after="140" w:before="360"/>
      </w:pPr>
      <w:r>
        <w:rPr>
          <w:rFonts w:ascii="Calibri" w:cs="Calibri" w:eastAsia="Calibri" w:hAnsi="Calibri"/>
          <w:b/>
          <w:bCs/>
          <w:i w:val="false"/>
          <w:iCs w:val="false"/>
          <w:color w:val="3E2C55"/>
          <w:sz w:val="30"/>
          <w:szCs w:val="30"/>
        </w:rPr>
        <w:t xml:space="preserve">Document control</w:t>
      </w:r>
    </w:p>
    <w:tbl>
      <w:tblPr>
        <w:tblW w:type="dxa" w:w="9360"/>
        <w:tblBorders>
          <w:top w:val="single" w:sz="4"/>
          <w:left w:val="single" w:sz="4"/>
          <w:bottom w:val="single" w:sz="4"/>
          <w:right w:val="single" w:sz="4"/>
          <w:insideH w:val="single" w:sz="4"/>
          <w:insideV w:val="single" w:sz="4"/>
        </w:tblBorders>
      </w:tblPr>
      <w:tblGrid>
        <w:gridCol w:w="1800"/>
        <w:gridCol w:w="7560"/>
      </w:tblGrid>
      <w:tr>
        <w:trPr>
          <w:tblHeader/>
        </w:trPr>
        <w:tc>
          <w:tcPr>
            <w:tcW w:type="dxa" w:w="18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Field</w:t>
            </w:r>
          </w:p>
        </w:tc>
        <w:tc>
          <w:tcPr>
            <w:tcW w:type="dxa" w:w="75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Detail</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Document</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WePresent by COATI - Website Technical Specification</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Version</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2.2 - Round 5: Workshop, Tour 2, contacts, scope boundary (supersedes v2.1)</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Repo state</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CORRECTED. v2.1 stated the repository reflected round 1 only. That was written before the build session of 1 August and is no longer true: rounds 2, 3 and 4 are built and deployed. 28 of 31 work orders are complete.</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Outstanding</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WO-80 (published internal notes, urgent), WO-81 to WO-86 (round 5), WO-52 (contrast pass), WO-63 (portal OAuth), WO-04 (blocked on partner logos), WO-62 (handover).</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Execution document</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BUILD-PLAN.md at the repository root. Round 5 orders are WO-80 to WO-86.</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Companion docs</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DESIGN.md (visual system), PRODUCT.md (product truth), CLAUDE.md (includes the Security section), WePresent-Auth-and-Handover-Guide.md (portal authentication and repository handover).</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Live review build</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playful-cassata-3c1ccf.netlify.app - current, reflects round 4.</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Prepared for</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COATI Global Sales Agency (Russia and CIS market)</w:t>
            </w:r>
          </w:p>
        </w:tc>
      </w:tr>
    </w:tbl>
    <w:p>
      <w:pPr>
        <w:pStyle w:val="Heading1"/>
        <w:spacing w:after="140" w:before="360"/>
      </w:pPr>
      <w:r>
        <w:rPr>
          <w:rFonts w:ascii="Calibri" w:cs="Calibri" w:eastAsia="Calibri" w:hAnsi="Calibri"/>
          <w:b/>
          <w:bCs/>
          <w:i w:val="false"/>
          <w:iCs w:val="false"/>
          <w:color w:val="3E2C55"/>
          <w:sz w:val="30"/>
          <w:szCs w:val="30"/>
        </w:rPr>
        <w:t xml:space="preserve">Key changes in round 5</w:t>
      </w:r>
    </w:p>
    <w:p>
      <w:pPr>
        <w:pStyle w:val="Heading2"/>
        <w:spacing w:after="140" w:before="240"/>
      </w:pPr>
      <w:r>
        <w:rPr>
          <w:rFonts w:ascii="Calibri" w:cs="Calibri" w:eastAsia="Calibri" w:hAnsi="Calibri"/>
          <w:b/>
          <w:bCs/>
          <w:i w:val="false"/>
          <w:iCs w:val="false"/>
          <w:color w:val="6E4FA3"/>
          <w:sz w:val="25"/>
          <w:szCs w:val="25"/>
        </w:rPr>
        <w:t xml:space="preserve">New event type</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NEW  </w:t>
      </w:r>
      <w:r>
        <w:rPr>
          <w:rFonts w:ascii="Calibri" w:cs="Calibri" w:eastAsia="Calibri" w:hAnsi="Calibri"/>
          <w:b w:val="false"/>
          <w:bCs w:val="false"/>
          <w:i w:val="false"/>
          <w:iCs w:val="false"/>
          <w:color w:val="2B2338"/>
          <w:sz w:val="21"/>
          <w:szCs w:val="21"/>
        </w:rPr>
        <w:t xml:space="preserve">The We Present Workshop joins the calendar. Moscow, November 2026, dates and venue to be confirmed. It is a partner networking and education event rather than a destination tour, and is modelled as a variant of the existing programme entity rather than a separate one. Section 1.</w:t>
      </w:r>
    </w:p>
    <w:p>
      <w:pPr>
        <w:pStyle w:val="Heading2"/>
        <w:spacing w:after="140" w:before="240"/>
      </w:pPr>
      <w:r>
        <w:rPr>
          <w:rFonts w:ascii="Calibri" w:cs="Calibri" w:eastAsia="Calibri" w:hAnsi="Calibri"/>
          <w:b/>
          <w:bCs/>
          <w:i w:val="false"/>
          <w:iCs w:val="false"/>
          <w:color w:val="6E4FA3"/>
          <w:sz w:val="25"/>
          <w:szCs w:val="25"/>
        </w:rPr>
        <w:t xml:space="preserve">Tour 2</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CHANGED  </w:t>
      </w:r>
      <w:r>
        <w:rPr>
          <w:rFonts w:ascii="Calibri" w:cs="Calibri" w:eastAsia="Calibri" w:hAnsi="Calibri"/>
          <w:b w:val="false"/>
          <w:bCs w:val="false"/>
          <w:i w:val="false"/>
          <w:iCs w:val="false"/>
          <w:color w:val="2B2338"/>
          <w:sz w:val="21"/>
          <w:szCs w:val="21"/>
        </w:rPr>
        <w:t xml:space="preserve">Dates confirmed as 28 August to 5 September 2026, which restores the original four-resort itinerary and settles Madifushi's inclusion. Section 2.1.</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CHANGED  </w:t>
      </w:r>
      <w:r>
        <w:rPr>
          <w:rFonts w:ascii="Calibri" w:cs="Calibri" w:eastAsia="Calibri" w:hAnsi="Calibri"/>
          <w:b w:val="false"/>
          <w:bCs w:val="false"/>
          <w:i w:val="false"/>
          <w:iCs w:val="false"/>
          <w:color w:val="2B2338"/>
          <w:sz w:val="21"/>
          <w:szCs w:val="21"/>
        </w:rPr>
        <w:t xml:space="preserve">TTM Maldives is optional, not a required part of the tour. It moves out of the itinerary into its own clearly-labelled block. Section 2.2.</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CHANGED  </w:t>
      </w:r>
      <w:r>
        <w:rPr>
          <w:rFonts w:ascii="Calibri" w:cs="Calibri" w:eastAsia="Calibri" w:hAnsi="Calibri"/>
          <w:b w:val="false"/>
          <w:bCs w:val="false"/>
          <w:i w:val="false"/>
          <w:iCs w:val="false"/>
          <w:color w:val="2B2338"/>
          <w:sz w:val="21"/>
          <w:szCs w:val="21"/>
        </w:rPr>
        <w:t xml:space="preserve">The tour is renamed Maldives - Tour 2. Naming it after an optional element overstated it. Section 2.3.</w:t>
      </w:r>
    </w:p>
    <w:p>
      <w:pPr>
        <w:pStyle w:val="Heading2"/>
        <w:spacing w:after="140" w:before="240"/>
      </w:pPr>
      <w:r>
        <w:rPr>
          <w:rFonts w:ascii="Calibri" w:cs="Calibri" w:eastAsia="Calibri" w:hAnsi="Calibri"/>
          <w:b/>
          <w:bCs/>
          <w:i w:val="false"/>
          <w:iCs w:val="false"/>
          <w:color w:val="6E4FA3"/>
          <w:sz w:val="25"/>
          <w:szCs w:val="25"/>
        </w:rPr>
        <w:t xml:space="preserve">Contacts</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NEW  </w:t>
      </w:r>
      <w:r>
        <w:rPr>
          <w:rFonts w:ascii="Calibri" w:cs="Calibri" w:eastAsia="Calibri" w:hAnsi="Calibri"/>
          <w:b w:val="false"/>
          <w:bCs w:val="false"/>
          <w:i w:val="false"/>
          <w:iCs w:val="false"/>
          <w:color w:val="2B2338"/>
          <w:sz w:val="21"/>
          <w:szCs w:val="21"/>
        </w:rPr>
        <w:t xml:space="preserve">Office landline added alongside the WhatsApp mobile, both offices listed, and interactive maps for Moscow and St Petersburg. Section 3.</w:t>
      </w:r>
    </w:p>
    <w:p>
      <w:pPr>
        <w:pStyle w:val="Heading2"/>
        <w:spacing w:after="140" w:before="240"/>
      </w:pPr>
      <w:r>
        <w:rPr>
          <w:rFonts w:ascii="Calibri" w:cs="Calibri" w:eastAsia="Calibri" w:hAnsi="Calibri"/>
          <w:b/>
          <w:bCs/>
          <w:i w:val="false"/>
          <w:iCs w:val="false"/>
          <w:color w:val="6E4FA3"/>
          <w:sz w:val="25"/>
          <w:szCs w:val="25"/>
        </w:rPr>
        <w:t xml:space="preserve">Scope and defects</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CLOSED  </w:t>
      </w:r>
      <w:r>
        <w:rPr>
          <w:rFonts w:ascii="Calibri" w:cs="Calibri" w:eastAsia="Calibri" w:hAnsi="Calibri"/>
          <w:b w:val="false"/>
          <w:bCs w:val="false"/>
          <w:i w:val="false"/>
          <w:iCs w:val="false"/>
          <w:color w:val="2B2338"/>
          <w:sz w:val="21"/>
          <w:szCs w:val="21"/>
        </w:rPr>
        <w:t xml:space="preserve">Registration management inside the admin panel is out of scope. Section 4.</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FIX  </w:t>
      </w:r>
      <w:r>
        <w:rPr>
          <w:rFonts w:ascii="Calibri" w:cs="Calibri" w:eastAsia="Calibri" w:hAnsi="Calibri"/>
          <w:b w:val="false"/>
          <w:bCs w:val="false"/>
          <w:i w:val="false"/>
          <w:iCs w:val="false"/>
          <w:color w:val="2B2338"/>
          <w:sz w:val="21"/>
          <w:szCs w:val="21"/>
        </w:rPr>
        <w:t xml:space="preserve">Internal working notes are published as visitor-facing copy on the live Tour 2 page. Highest-priority fix in this round. Section 6.</w:t>
      </w:r>
    </w:p>
    <w:p>
      <w:pPr>
        <w:pStyle w:val="ListParagraph"/>
        <w:numPr>
          <w:ilvl w:val="0"/>
          <w:numId w:val="2"/>
        </w:numPr>
        <w:spacing w:after="80" w:line="276"/>
      </w:pPr>
      <w:r>
        <w:rPr>
          <w:rFonts w:ascii="Calibri" w:cs="Calibri" w:eastAsia="Calibri" w:hAnsi="Calibri"/>
          <w:b/>
          <w:bCs/>
          <w:i w:val="false"/>
          <w:iCs w:val="false"/>
          <w:color w:val="6E4FA3"/>
          <w:sz w:val="21"/>
          <w:szCs w:val="21"/>
        </w:rPr>
        <w:t xml:space="preserve">CHANGED  </w:t>
      </w:r>
      <w:r>
        <w:rPr>
          <w:rFonts w:ascii="Calibri" w:cs="Calibri" w:eastAsia="Calibri" w:hAnsi="Calibri"/>
          <w:b w:val="false"/>
          <w:bCs w:val="false"/>
          <w:i w:val="false"/>
          <w:iCs w:val="false"/>
          <w:color w:val="2B2338"/>
          <w:sz w:val="21"/>
          <w:szCs w:val="21"/>
        </w:rPr>
        <w:t xml:space="preserve">Handover becomes a repository transfer rather than a zip archive. A zip and a working content portal are mutually exclusive. Section 7.</w:t>
      </w:r>
    </w:p>
    <w:p>
      <w:pPr>
        <w:pStyle w:val="Heading1"/>
        <w:spacing w:after="140" w:before="360"/>
      </w:pPr>
      <w:r>
        <w:rPr>
          <w:rFonts w:ascii="Calibri" w:cs="Calibri" w:eastAsia="Calibri" w:hAnsi="Calibri"/>
          <w:b/>
          <w:bCs/>
          <w:i w:val="false"/>
          <w:iCs w:val="false"/>
          <w:color w:val="3E2C55"/>
          <w:sz w:val="30"/>
          <w:szCs w:val="30"/>
        </w:rPr>
        <w:t xml:space="preserve">1. The We Present Workshop</w:t>
      </w:r>
    </w:p>
    <w:p>
      <w:pPr>
        <w:spacing w:after="120" w:before="0" w:line="276"/>
      </w:pPr>
      <w:r>
        <w:rPr>
          <w:rFonts w:ascii="Calibri" w:cs="Calibri" w:eastAsia="Calibri" w:hAnsi="Calibri"/>
          <w:b w:val="false"/>
          <w:bCs w:val="false"/>
          <w:i w:val="false"/>
          <w:iCs w:val="false"/>
          <w:color w:val="2B2338"/>
          <w:sz w:val="21"/>
          <w:szCs w:val="21"/>
        </w:rPr>
        <w:t xml:space="preserve">The client is introducing a second annual format alongside the destination tours. Unlike a tour, it brings multiple partners from the COATI collection together in one room rather than taking participants to one destination.</w:t>
      </w:r>
    </w:p>
    <w:p>
      <w:pPr>
        <w:pStyle w:val="Heading2"/>
        <w:spacing w:after="140" w:before="240"/>
      </w:pPr>
      <w:r>
        <w:rPr>
          <w:rFonts w:ascii="Calibri" w:cs="Calibri" w:eastAsia="Calibri" w:hAnsi="Calibri"/>
          <w:b/>
          <w:bCs/>
          <w:i w:val="false"/>
          <w:iCs w:val="false"/>
          <w:color w:val="6E4FA3"/>
          <w:sz w:val="25"/>
          <w:szCs w:val="25"/>
        </w:rPr>
        <w:t xml:space="preserve">1.1 What is confirmed, and what is not</w:t>
      </w:r>
    </w:p>
    <w:p>
      <w:pPr>
        <w:spacing w:after="120" w:before="0" w:line="276"/>
      </w:pPr>
      <w:r>
        <w:rPr>
          <w:rFonts w:ascii="Calibri" w:cs="Calibri" w:eastAsia="Calibri" w:hAnsi="Calibri"/>
          <w:b w:val="false"/>
          <w:bCs w:val="false"/>
          <w:i w:val="false"/>
          <w:iCs w:val="false"/>
          <w:color w:val="2B2338"/>
          <w:sz w:val="21"/>
          <w:szCs w:val="21"/>
        </w:rPr>
        <w:t xml:space="preserve">The client has been explicit that the event is still in planning. Only two facts are settled, and nothing else may be written into the site or inferred from context.</w:t>
      </w:r>
    </w:p>
    <w:tbl>
      <w:tblPr>
        <w:tblW w:type="dxa" w:w="9360"/>
        <w:tblBorders>
          <w:top w:val="single" w:sz="4"/>
          <w:left w:val="single" w:sz="4"/>
          <w:bottom w:val="single" w:sz="4"/>
          <w:right w:val="single" w:sz="4"/>
          <w:insideH w:val="single" w:sz="4"/>
          <w:insideV w:val="single" w:sz="4"/>
        </w:tblBorders>
      </w:tblPr>
      <w:tblGrid>
        <w:gridCol w:w="2600"/>
        <w:gridCol w:w="6760"/>
      </w:tblGrid>
      <w:tr>
        <w:trPr>
          <w:tblHeader/>
        </w:trPr>
        <w:tc>
          <w:tcPr>
            <w:tcW w:type="dxa" w:w="26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Item</w:t>
            </w:r>
          </w:p>
        </w:tc>
        <w:tc>
          <w:tcPr>
            <w:tcW w:type="dxa" w:w="67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Status</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Month and city</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Confirmed. November 2026, Moscow.</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Audience</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Confirmed. Partners from the COATI collection: hotels, resorts and destinations. Travel agents are invited to register.</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Cost for agents</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Confirmed. Complimentary.</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Branding</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Confirmed. Standard We Present branding, no separate identity.</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Exact dates</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Not confirmed.</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Venue</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Not confirmed.</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Programme and agenda</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Not confirmed.</w:t>
            </w:r>
          </w:p>
        </w:tc>
      </w:tr>
      <w:tr>
        <w:trPr>
          <w:tblHeader w:val="false"/>
        </w:trPr>
        <w:tc>
          <w:tcPr>
            <w:tcW w:type="dxa" w:w="26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Number of participating hotel partners</w:t>
            </w:r>
          </w:p>
        </w:tc>
        <w:tc>
          <w:tcPr>
            <w:tcW w:type="dxa" w:w="67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Not confirmed.</w:t>
            </w:r>
          </w:p>
        </w:tc>
      </w:tr>
    </w:tbl>
    <w:p>
      <w:pPr>
        <w:spacing w:after="120" w:before="120" w:line="276"/>
      </w:pPr>
      <w:r>
        <w:rPr>
          <w:rFonts w:ascii="Calibri" w:cs="Calibri" w:eastAsia="Calibri" w:hAnsi="Calibri"/>
          <w:b w:val="false"/>
          <w:bCs w:val="false"/>
          <w:i w:val="false"/>
          <w:iCs w:val="false"/>
          <w:color w:val="2B2338"/>
          <w:sz w:val="21"/>
          <w:szCs w:val="21"/>
        </w:rPr>
        <w:t xml:space="preserve">The page therefore ships in a coming-soon state with a working registration route. The guardrail against inventing facts applies with full force here: no placeholder venue, no indicative dates, no sample agenda.</w:t>
      </w:r>
    </w:p>
    <w:p>
      <w:pPr>
        <w:pStyle w:val="Heading2"/>
        <w:spacing w:after="140" w:before="240"/>
      </w:pPr>
      <w:r>
        <w:rPr>
          <w:rFonts w:ascii="Calibri" w:cs="Calibri" w:eastAsia="Calibri" w:hAnsi="Calibri"/>
          <w:b/>
          <w:bCs/>
          <w:i w:val="false"/>
          <w:iCs w:val="false"/>
          <w:color w:val="6E4FA3"/>
          <w:sz w:val="25"/>
          <w:szCs w:val="25"/>
        </w:rPr>
        <w:t xml:space="preserve">1.2 How the Workshop is modelled</w:t>
      </w:r>
    </w:p>
    <w:p>
      <w:pPr>
        <w:spacing w:after="120" w:before="0" w:line="276"/>
      </w:pPr>
      <w:r>
        <w:rPr>
          <w:rFonts w:ascii="Calibri" w:cs="Calibri" w:eastAsia="Calibri" w:hAnsi="Calibri"/>
          <w:b w:val="false"/>
          <w:bCs w:val="false"/>
          <w:i w:val="false"/>
          <w:iCs w:val="false"/>
          <w:color w:val="2B2338"/>
          <w:sz w:val="21"/>
          <w:szCs w:val="21"/>
        </w:rPr>
        <w:t xml:space="preserve">The Workshop is added as a variant of the existing programme entity, using a format field, rather than as a separate collection. The reasoning is worth recording because the alternative looks tidier at first glance.</w:t>
      </w:r>
    </w:p>
    <w:p>
      <w:pPr>
        <w:spacing w:after="120" w:before="0" w:line="276"/>
      </w:pPr>
      <w:r>
        <w:rPr>
          <w:rFonts w:ascii="Calibri" w:cs="Calibri" w:eastAsia="Calibri" w:hAnsi="Calibri"/>
          <w:b w:val="false"/>
          <w:bCs w:val="false"/>
          <w:i w:val="false"/>
          <w:iCs w:val="false"/>
          <w:color w:val="2B2338"/>
          <w:sz w:val="21"/>
          <w:szCs w:val="21"/>
        </w:rPr>
        <w:t xml:space="preserve">The Workshop needs almost the entire tour surface: year, bilingual name, bilingual dates, status, summary, hero image, coming-soon state and a registration call to action. What it lacks is precisely what a tour adds on top: a destination, a resort line-up, a dated itinerary, an inclusions block and an on-site programme. An entity that is a strict subset of another, and that shares its display surface, is a variant rather than a sibling.</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The calendar stays one ordered list. Two collections would mean merging two sources and keeping sort order and the status vocabulary synchronised across both, indefinitely.</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The client sees one place in the portal to add an event, with a Format dropdown that hides the fields that do not apply. Two collections would ask a non-technical editor to choose correctly before they start.</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Live URLs are unaffected. This is the same reasoning that declined the URL restructure in round 2.</w:t>
      </w:r>
    </w:p>
    <w:p>
      <w:pPr>
        <w:spacing w:after="120" w:before="120" w:line="276"/>
      </w:pPr>
      <w:r>
        <w:rPr>
          <w:rFonts w:ascii="Calibri" w:cs="Calibri" w:eastAsia="Calibri" w:hAnsi="Calibri"/>
          <w:b w:val="false"/>
          <w:bCs w:val="false"/>
          <w:i w:val="false"/>
          <w:iCs w:val="false"/>
          <w:color w:val="2B2338"/>
          <w:sz w:val="21"/>
          <w:szCs w:val="21"/>
        </w:rPr>
        <w:t xml:space="preserve">If workshops later grow structure that tours do not have, such as an hourly agenda, a speaker list or an exhibitor directory, the format field is exactly the seam along which to split them into their own collection. Nothing is lost by starting merged.</w:t>
      </w:r>
    </w:p>
    <w:p>
      <w:pPr>
        <w:pStyle w:val="Heading2"/>
        <w:spacing w:after="140" w:before="240"/>
      </w:pPr>
      <w:r>
        <w:rPr>
          <w:rFonts w:ascii="Calibri" w:cs="Calibri" w:eastAsia="Calibri" w:hAnsi="Calibri"/>
          <w:b/>
          <w:bCs/>
          <w:i w:val="false"/>
          <w:iCs w:val="false"/>
          <w:color w:val="6E4FA3"/>
          <w:sz w:val="25"/>
          <w:szCs w:val="25"/>
        </w:rPr>
        <w:t xml:space="preserve">1.3 What the Workshop page renders</w:t>
      </w:r>
    </w:p>
    <w:p>
      <w:pPr>
        <w:spacing w:after="120" w:before="0" w:line="276"/>
      </w:pPr>
      <w:r>
        <w:rPr>
          <w:rFonts w:ascii="Calibri" w:cs="Calibri" w:eastAsia="Calibri" w:hAnsi="Calibri"/>
          <w:b w:val="false"/>
          <w:bCs w:val="false"/>
          <w:i w:val="false"/>
          <w:iCs w:val="false"/>
          <w:color w:val="2B2338"/>
          <w:sz w:val="21"/>
          <w:szCs w:val="21"/>
        </w:rPr>
        <w:t xml:space="preserve">The detail template branches on format. The workshop variant renders what the Workshop is, who attends, the complimentary note for agents, the month and city, and a registration call to action. It must not render the resort grid, the itinerary, the What's Included block or the on-site programme block, all of which would either be empty or misleading.</w:t>
      </w:r>
    </w:p>
    <w:p>
      <w:pPr>
        <w:spacing w:after="120" w:before="0" w:line="276"/>
      </w:pPr>
      <w:r>
        <w:rPr>
          <w:rFonts w:ascii="Calibri" w:cs="Calibri" w:eastAsia="Calibri" w:hAnsi="Calibri"/>
          <w:b w:val="false"/>
          <w:bCs w:val="false"/>
          <w:i w:val="false"/>
          <w:iCs w:val="false"/>
          <w:color w:val="2B2338"/>
          <w:sz w:val="21"/>
          <w:szCs w:val="21"/>
        </w:rPr>
        <w:t xml:space="preserve">In the calendar, a workshop card carries a location line where a tour card carries its resort line-up, and reads Dates to be confirmed in the dates slot. It is given a quiet visual differentiator so it does not read as a destination tour. Not a badge announcing that it is new.</w:t>
      </w:r>
    </w:p>
    <w:p>
      <w:pPr>
        <w:pStyle w:val="Heading2"/>
        <w:spacing w:after="140" w:before="240"/>
      </w:pPr>
      <w:r>
        <w:rPr>
          <w:rFonts w:ascii="Calibri" w:cs="Calibri" w:eastAsia="Calibri" w:hAnsi="Calibri"/>
          <w:b/>
          <w:bCs/>
          <w:i w:val="false"/>
          <w:iCs w:val="false"/>
          <w:color w:val="6E4FA3"/>
          <w:sz w:val="25"/>
          <w:szCs w:val="25"/>
        </w:rPr>
        <w:t xml:space="preserve">1.4 Registration</w:t>
      </w:r>
    </w:p>
    <w:p>
      <w:pPr>
        <w:spacing w:after="120" w:before="0" w:line="276"/>
      </w:pPr>
      <w:r>
        <w:rPr>
          <w:rFonts w:ascii="Calibri" w:cs="Calibri" w:eastAsia="Calibri" w:hAnsi="Calibri"/>
          <w:b w:val="false"/>
          <w:bCs w:val="false"/>
          <w:i w:val="false"/>
          <w:iCs w:val="false"/>
          <w:color w:val="2B2338"/>
          <w:sz w:val="21"/>
          <w:szCs w:val="21"/>
        </w:rPr>
        <w:t xml:space="preserve">The client asked for registration to work as it does for the tours. It does: the existing register route already collects name, company, phone, email and a business card upload, validates the upload, and emails the submission with the file attached. The Workshop reuses it.</w:t>
      </w:r>
    </w:p>
    <w:p>
      <w:pPr>
        <w:spacing w:after="120" w:before="0" w:line="276"/>
      </w:pPr>
      <w:r>
        <w:rPr>
          <w:rFonts w:ascii="Calibri" w:cs="Calibri" w:eastAsia="Calibri" w:hAnsi="Calibri"/>
          <w:b w:val="false"/>
          <w:bCs w:val="false"/>
          <w:i w:val="false"/>
          <w:iCs w:val="false"/>
          <w:color w:val="2B2338"/>
          <w:sz w:val="21"/>
          <w:szCs w:val="21"/>
        </w:rPr>
        <w:t xml:space="preserve">One field is added: which event the submission is for, prefilled when the visitor arrives from a specific programme page. This lets the team tell a workshop registration from a tour registration at a glance, which is the practical half of what the client asked for in their point on registration management. The other half, storage and status management, is out of scope. See section 4.</w:t>
      </w:r>
    </w:p>
    <w:p>
      <w:pPr>
        <w:spacing w:after="120" w:before="0" w:line="276"/>
      </w:pPr>
      <w:r>
        <w:rPr>
          <w:rFonts w:ascii="Calibri" w:cs="Calibri" w:eastAsia="Calibri" w:hAnsi="Calibri"/>
          <w:b w:val="false"/>
          <w:bCs w:val="false"/>
          <w:i w:val="false"/>
          <w:iCs w:val="false"/>
          <w:color w:val="2B2338"/>
          <w:sz w:val="21"/>
          <w:szCs w:val="21"/>
        </w:rPr>
        <w:t xml:space="preserve">The deliberate locale asymmetry holds. Russian carries the full form, English shows the contact block. This is not changed for the Workshop.</w:t>
      </w:r>
    </w:p>
    <w:p>
      <w:pPr>
        <w:pStyle w:val="Heading1"/>
        <w:spacing w:after="140" w:before="360"/>
      </w:pPr>
      <w:r>
        <w:rPr>
          <w:rFonts w:ascii="Calibri" w:cs="Calibri" w:eastAsia="Calibri" w:hAnsi="Calibri"/>
          <w:b/>
          <w:bCs/>
          <w:i w:val="false"/>
          <w:iCs w:val="false"/>
          <w:color w:val="3E2C55"/>
          <w:sz w:val="30"/>
          <w:szCs w:val="30"/>
        </w:rPr>
        <w:t xml:space="preserve">2. Maldives Tour 2</w:t>
      </w:r>
    </w:p>
    <w:p>
      <w:pPr>
        <w:pStyle w:val="Heading2"/>
        <w:spacing w:after="140" w:before="240"/>
      </w:pPr>
      <w:r>
        <w:rPr>
          <w:rFonts w:ascii="Calibri" w:cs="Calibri" w:eastAsia="Calibri" w:hAnsi="Calibri"/>
          <w:b/>
          <w:bCs/>
          <w:i w:val="false"/>
          <w:iCs w:val="false"/>
          <w:color w:val="6E4FA3"/>
          <w:sz w:val="25"/>
          <w:szCs w:val="25"/>
        </w:rPr>
        <w:t xml:space="preserve">2.1 Confirmed dates and itinerary</w:t>
      </w:r>
    </w:p>
    <w:p>
      <w:pPr>
        <w:spacing w:after="120" w:before="0" w:line="276"/>
      </w:pPr>
      <w:r>
        <w:rPr>
          <w:rFonts w:ascii="Calibri" w:cs="Calibri" w:eastAsia="Calibri" w:hAnsi="Calibri"/>
          <w:b w:val="false"/>
          <w:bCs w:val="false"/>
          <w:i w:val="false"/>
          <w:iCs w:val="false"/>
          <w:color w:val="2B2338"/>
          <w:sz w:val="21"/>
          <w:szCs w:val="21"/>
        </w:rPr>
        <w:t xml:space="preserve">The client has confirmed 28 August to 5 September 2026. This is two days longer than the range the site currently shows, and it restores the original four-resort plan exactly. Madifushi Private Island, which the site currently marks as unconfirmed, is included on the closing leg. No further confirmation is needed: the date range and the itinerary are the same fact expressed two ways.</w:t>
      </w:r>
    </w:p>
    <w:tbl>
      <w:tblPr>
        <w:tblW w:type="dxa" w:w="9360"/>
        <w:tblBorders>
          <w:top w:val="single" w:sz="4"/>
          <w:left w:val="single" w:sz="4"/>
          <w:bottom w:val="single" w:sz="4"/>
          <w:right w:val="single" w:sz="4"/>
          <w:insideH w:val="single" w:sz="4"/>
          <w:insideV w:val="single" w:sz="4"/>
        </w:tblBorders>
      </w:tblPr>
      <w:tblGrid>
        <w:gridCol w:w="1900"/>
        <w:gridCol w:w="3200"/>
        <w:gridCol w:w="4260"/>
      </w:tblGrid>
      <w:tr>
        <w:trPr>
          <w:tblHeader/>
        </w:trPr>
        <w:tc>
          <w:tcPr>
            <w:tcW w:type="dxa" w:w="19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Dates</w:t>
            </w:r>
          </w:p>
        </w:tc>
        <w:tc>
          <w:tcPr>
            <w:tcW w:type="dxa" w:w="32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Property</w:t>
            </w:r>
          </w:p>
        </w:tc>
        <w:tc>
          <w:tcPr>
            <w:tcW w:type="dxa" w:w="42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Note</w:t>
            </w:r>
          </w:p>
        </w:tc>
      </w:tr>
      <w:tr>
        <w:trPr>
          <w:tblHeader w:val="false"/>
        </w:trPr>
        <w:tc>
          <w:tcPr>
            <w:tcW w:type="dxa" w:w="19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26 to 27 Aug</w:t>
            </w:r>
          </w:p>
        </w:tc>
        <w:tc>
          <w:tcPr>
            <w:tcW w:type="dxa" w:w="3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TTM Maldives</w:t>
            </w:r>
          </w:p>
        </w:tc>
        <w:tc>
          <w:tcPr>
            <w:tcW w:type="dxa" w:w="4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Optional, before the tour begins. See 2.2.</w:t>
            </w:r>
          </w:p>
        </w:tc>
      </w:tr>
      <w:tr>
        <w:trPr>
          <w:tblHeader w:val="false"/>
        </w:trPr>
        <w:tc>
          <w:tcPr>
            <w:tcW w:type="dxa" w:w="19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28 to 30 Aug</w:t>
            </w:r>
          </w:p>
        </w:tc>
        <w:tc>
          <w:tcPr>
            <w:tcW w:type="dxa" w:w="3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Fushifaru Maldives</w:t>
            </w:r>
          </w:p>
        </w:tc>
        <w:tc>
          <w:tcPr>
            <w:tcW w:type="dxa" w:w="4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Lhaviyani Atoll. Opening leg.</w:t>
            </w:r>
          </w:p>
        </w:tc>
      </w:tr>
      <w:tr>
        <w:trPr>
          <w:tblHeader w:val="false"/>
        </w:trPr>
        <w:tc>
          <w:tcPr>
            <w:tcW w:type="dxa" w:w="19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30 Aug to 1 Sep</w:t>
            </w:r>
          </w:p>
        </w:tc>
        <w:tc>
          <w:tcPr>
            <w:tcW w:type="dxa" w:w="3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Meyyafushi Maldives</w:t>
            </w:r>
          </w:p>
        </w:tc>
        <w:tc>
          <w:tcPr>
            <w:tcW w:type="dxa" w:w="4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Lhaviyani Atoll.</w:t>
            </w:r>
          </w:p>
        </w:tc>
      </w:tr>
      <w:tr>
        <w:trPr>
          <w:tblHeader w:val="false"/>
        </w:trPr>
        <w:tc>
          <w:tcPr>
            <w:tcW w:type="dxa" w:w="19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1 to 3 Sep</w:t>
            </w:r>
          </w:p>
        </w:tc>
        <w:tc>
          <w:tcPr>
            <w:tcW w:type="dxa" w:w="3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SO/ Maldives</w:t>
            </w:r>
          </w:p>
        </w:tc>
        <w:tc>
          <w:tcPr>
            <w:tcW w:type="dxa" w:w="4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South Male Atoll.</w:t>
            </w:r>
          </w:p>
        </w:tc>
      </w:tr>
      <w:tr>
        <w:trPr>
          <w:tblHeader w:val="false"/>
        </w:trPr>
        <w:tc>
          <w:tcPr>
            <w:tcW w:type="dxa" w:w="19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3 to 5 Sep</w:t>
            </w:r>
          </w:p>
        </w:tc>
        <w:tc>
          <w:tcPr>
            <w:tcW w:type="dxa" w:w="3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Madifushi Private Island</w:t>
            </w:r>
          </w:p>
        </w:tc>
        <w:tc>
          <w:tcPr>
            <w:tcW w:type="dxa" w:w="4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Meemu Atoll. Departure 5 September.</w:t>
            </w:r>
          </w:p>
        </w:tc>
      </w:tr>
    </w:tbl>
    <w:p>
      <w:pPr>
        <w:pStyle w:val="Heading2"/>
        <w:spacing w:after="140" w:before="240"/>
      </w:pPr>
      <w:r>
        <w:rPr>
          <w:rFonts w:ascii="Calibri" w:cs="Calibri" w:eastAsia="Calibri" w:hAnsi="Calibri"/>
          <w:b/>
          <w:bCs/>
          <w:i w:val="false"/>
          <w:iCs w:val="false"/>
          <w:color w:val="6E4FA3"/>
          <w:sz w:val="25"/>
          <w:szCs w:val="25"/>
        </w:rPr>
        <w:t xml:space="preserve">2.2 TTM Maldives is optional</w:t>
      </w:r>
    </w:p>
    <w:p>
      <w:pPr>
        <w:spacing w:after="120" w:before="0" w:line="276"/>
      </w:pPr>
      <w:r>
        <w:rPr>
          <w:rFonts w:ascii="Calibri" w:cs="Calibri" w:eastAsia="Calibri" w:hAnsi="Calibri"/>
          <w:b w:val="false"/>
          <w:bCs w:val="false"/>
          <w:i w:val="false"/>
          <w:iCs w:val="false"/>
          <w:color w:val="2B2338"/>
          <w:sz w:val="21"/>
          <w:szCs w:val="21"/>
        </w:rPr>
        <w:t xml:space="preserve">The client's wording is unambiguous: TTM is not optional in the sense of being a paid extra, it is not a required part of the tour at all. Participants may choose to attend, and may equally join the tour without it.</w:t>
      </w:r>
    </w:p>
    <w:p>
      <w:pPr>
        <w:spacing w:after="120" w:before="0" w:line="276"/>
      </w:pPr>
      <w:r>
        <w:rPr>
          <w:rFonts w:ascii="Calibri" w:cs="Calibri" w:eastAsia="Calibri" w:hAnsi="Calibri"/>
          <w:b w:val="false"/>
          <w:bCs w:val="false"/>
          <w:i w:val="false"/>
          <w:iCs w:val="false"/>
          <w:color w:val="2B2338"/>
          <w:sz w:val="21"/>
          <w:szCs w:val="21"/>
        </w:rPr>
        <w:t xml:space="preserve">This has to be resolved in the layout, not only in the copy. The page currently shows a 28 August start above an itinerary whose first row is TTM on 26 and 27 August, so it contradicts itself before a visitor reads a word. TTM moves out of the dated itinerary sequence into its own block above it, labelled as optional and dated before the tour. An optional item must never render inside a dated route, because sequence implies inclusion.</w:t>
      </w:r>
    </w:p>
    <w:p>
      <w:pPr>
        <w:spacing w:after="120" w:before="0" w:line="276"/>
      </w:pPr>
      <w:r>
        <w:rPr>
          <w:rFonts w:ascii="Calibri" w:cs="Calibri" w:eastAsia="Calibri" w:hAnsi="Calibri"/>
          <w:b w:val="false"/>
          <w:bCs w:val="false"/>
          <w:i w:val="false"/>
          <w:iCs w:val="false"/>
          <w:color w:val="2B2338"/>
          <w:sz w:val="21"/>
          <w:szCs w:val="21"/>
        </w:rPr>
        <w:t xml:space="preserve">The consequence for the inclusions block: TTM entry sits under what is not included, and the wording must not imply it was ever bundled.</w:t>
      </w:r>
    </w:p>
    <w:p>
      <w:pPr>
        <w:pStyle w:val="Heading2"/>
        <w:spacing w:after="140" w:before="240"/>
      </w:pPr>
      <w:r>
        <w:rPr>
          <w:rFonts w:ascii="Calibri" w:cs="Calibri" w:eastAsia="Calibri" w:hAnsi="Calibri"/>
          <w:b/>
          <w:bCs/>
          <w:i w:val="false"/>
          <w:iCs w:val="false"/>
          <w:color w:val="6E4FA3"/>
          <w:sz w:val="25"/>
          <w:szCs w:val="25"/>
        </w:rPr>
        <w:t xml:space="preserve">2.3 Renaming</w:t>
      </w:r>
    </w:p>
    <w:p>
      <w:pPr>
        <w:spacing w:after="120" w:before="0" w:line="276"/>
      </w:pPr>
      <w:r>
        <w:rPr>
          <w:rFonts w:ascii="Calibri" w:cs="Calibri" w:eastAsia="Calibri" w:hAnsi="Calibri"/>
          <w:b w:val="false"/>
          <w:bCs w:val="false"/>
          <w:i w:val="false"/>
          <w:iCs w:val="false"/>
          <w:color w:val="2B2338"/>
          <w:sz w:val="21"/>
          <w:szCs w:val="21"/>
        </w:rPr>
        <w:t xml:space="preserve">The tour is currently called Maldives + TTM - Tour 2. With TTM confirmed as optional, the name promises something the page itself says is a choice, and it breaks symmetry with Tour 1. It becomes Maldives - Tour 2, with TTM presented as an opportunity on the page.</w:t>
      </w:r>
    </w:p>
    <w:p>
      <w:pPr>
        <w:spacing w:after="120" w:before="0" w:line="276"/>
      </w:pPr>
      <w:r>
        <w:rPr>
          <w:rFonts w:ascii="Calibri" w:cs="Calibri" w:eastAsia="Calibri" w:hAnsi="Calibri"/>
          <w:b w:val="false"/>
          <w:bCs w:val="false"/>
          <w:i w:val="false"/>
          <w:iCs w:val="false"/>
          <w:color w:val="2B2338"/>
          <w:sz w:val="21"/>
          <w:szCs w:val="21"/>
        </w:rPr>
        <w:t xml:space="preserve">The slug stays as it is. The URL is already live in the review build and a visitor never sees it; renaming it would break links for no benefit.</w:t>
      </w:r>
    </w:p>
    <w:p>
      <w:pPr>
        <w:pStyle w:val="Heading1"/>
        <w:spacing w:after="140" w:before="360"/>
      </w:pPr>
      <w:r>
        <w:rPr>
          <w:rFonts w:ascii="Calibri" w:cs="Calibri" w:eastAsia="Calibri" w:hAnsi="Calibri"/>
          <w:b/>
          <w:bCs/>
          <w:i w:val="false"/>
          <w:iCs w:val="false"/>
          <w:color w:val="3E2C55"/>
          <w:sz w:val="30"/>
          <w:szCs w:val="30"/>
        </w:rPr>
        <w:t xml:space="preserve">3. Contacts and offices</w:t>
      </w:r>
    </w:p>
    <w:p>
      <w:pPr>
        <w:pStyle w:val="Heading2"/>
        <w:spacing w:after="140" w:before="240"/>
      </w:pPr>
      <w:r>
        <w:rPr>
          <w:rFonts w:ascii="Calibri" w:cs="Calibri" w:eastAsia="Calibri" w:hAnsi="Calibri"/>
          <w:b/>
          <w:bCs/>
          <w:i w:val="false"/>
          <w:iCs w:val="false"/>
          <w:color w:val="6E4FA3"/>
          <w:sz w:val="25"/>
          <w:szCs w:val="25"/>
        </w:rPr>
        <w:t xml:space="preserve">3.1 Telephone</w:t>
      </w:r>
    </w:p>
    <w:p>
      <w:pPr>
        <w:spacing w:after="120" w:before="0" w:line="276"/>
      </w:pPr>
      <w:r>
        <w:rPr>
          <w:rFonts w:ascii="Calibri" w:cs="Calibri" w:eastAsia="Calibri" w:hAnsi="Calibri"/>
          <w:b w:val="false"/>
          <w:bCs w:val="false"/>
          <w:i w:val="false"/>
          <w:iCs w:val="false"/>
          <w:color w:val="2B2338"/>
          <w:sz w:val="21"/>
          <w:szCs w:val="21"/>
        </w:rPr>
        <w:t xml:space="preserve">The client confirmed that the mobile stays as the WhatsApp contact and the office landline is added alongside it, not in place of it. Two distinct lines, labelled so a visitor knows which is which.</w:t>
      </w:r>
    </w:p>
    <w:tbl>
      <w:tblPr>
        <w:tblW w:type="dxa" w:w="9360"/>
        <w:tblBorders>
          <w:top w:val="single" w:sz="4"/>
          <w:left w:val="single" w:sz="4"/>
          <w:bottom w:val="single" w:sz="4"/>
          <w:right w:val="single" w:sz="4"/>
          <w:insideH w:val="single" w:sz="4"/>
          <w:insideV w:val="single" w:sz="4"/>
        </w:tblBorders>
      </w:tblPr>
      <w:tblGrid>
        <w:gridCol w:w="3000"/>
        <w:gridCol w:w="6360"/>
      </w:tblGrid>
      <w:tr>
        <w:trPr>
          <w:tblHeader/>
        </w:trPr>
        <w:tc>
          <w:tcPr>
            <w:tcW w:type="dxa" w:w="30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Number</w:t>
            </w:r>
          </w:p>
        </w:tc>
        <w:tc>
          <w:tcPr>
            <w:tcW w:type="dxa" w:w="63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Role</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+7 915 371 44 86</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Mobile. Click-to-chat WhatsApp link and a standard telephone link.</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+7 (495) 150-11-03</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Office landline. Telephone link only.</w:t>
            </w:r>
          </w:p>
        </w:tc>
      </w:tr>
    </w:tbl>
    <w:p>
      <w:pPr>
        <w:pStyle w:val="Heading2"/>
        <w:spacing w:after="140" w:before="240"/>
      </w:pPr>
      <w:r>
        <w:rPr>
          <w:rFonts w:ascii="Calibri" w:cs="Calibri" w:eastAsia="Calibri" w:hAnsi="Calibri"/>
          <w:b/>
          <w:bCs/>
          <w:i w:val="false"/>
          <w:iCs w:val="false"/>
          <w:color w:val="6E4FA3"/>
          <w:sz w:val="25"/>
          <w:szCs w:val="25"/>
        </w:rPr>
        <w:t xml:space="preserve">3.2 Offices</w:t>
      </w:r>
    </w:p>
    <w:p>
      <w:pPr>
        <w:spacing w:after="120" w:before="0" w:line="276"/>
      </w:pPr>
      <w:r>
        <w:rPr>
          <w:rFonts w:ascii="Calibri" w:cs="Calibri" w:eastAsia="Calibri" w:hAnsi="Calibri"/>
          <w:b w:val="false"/>
          <w:bCs w:val="false"/>
          <w:i w:val="false"/>
          <w:iCs w:val="false"/>
          <w:color w:val="2B2338"/>
          <w:sz w:val="21"/>
          <w:szCs w:val="21"/>
        </w:rPr>
        <w:t xml:space="preserve">Both offices are published. They are held as structured data rather than free text, so that the maps in 3.3 can key off the same source and the two never drift apart.</w:t>
      </w:r>
    </w:p>
    <w:tbl>
      <w:tblPr>
        <w:tblW w:type="dxa" w:w="9360"/>
        <w:tblBorders>
          <w:top w:val="single" w:sz="4"/>
          <w:left w:val="single" w:sz="4"/>
          <w:bottom w:val="single" w:sz="4"/>
          <w:right w:val="single" w:sz="4"/>
          <w:insideH w:val="single" w:sz="4"/>
          <w:insideV w:val="single" w:sz="4"/>
        </w:tblBorders>
      </w:tblPr>
      <w:tblGrid>
        <w:gridCol w:w="2200"/>
        <w:gridCol w:w="7160"/>
      </w:tblGrid>
      <w:tr>
        <w:trPr>
          <w:tblHeader/>
        </w:trPr>
        <w:tc>
          <w:tcPr>
            <w:tcW w:type="dxa" w:w="22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City</w:t>
            </w:r>
          </w:p>
        </w:tc>
        <w:tc>
          <w:tcPr>
            <w:tcW w:type="dxa" w:w="71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Address</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Moscow</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White Stone, 4th Lesnoy Pereulok, 4</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St Petersburg</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Regus Nevsky Plaza, Nevsky Prospect, 55</w:t>
            </w:r>
          </w:p>
        </w:tc>
      </w:tr>
    </w:tbl>
    <w:p>
      <w:pPr>
        <w:spacing w:after="120" w:before="120" w:line="276"/>
      </w:pPr>
      <w:r>
        <w:rPr>
          <w:rFonts w:ascii="Calibri" w:cs="Calibri" w:eastAsia="Calibri" w:hAnsi="Calibri"/>
          <w:b w:val="false"/>
          <w:bCs w:val="false"/>
          <w:i w:val="false"/>
          <w:iCs w:val="false"/>
          <w:color w:val="2B2338"/>
          <w:sz w:val="21"/>
          <w:szCs w:val="21"/>
        </w:rPr>
        <w:t xml:space="preserve">This replaces the Office address: to be confirmed placeholder currently visible in the footer on every page. The email placeholder remains, correctly, until the production address exists.</w:t>
      </w:r>
    </w:p>
    <w:p>
      <w:pPr>
        <w:pStyle w:val="Heading2"/>
        <w:spacing w:after="140" w:before="240"/>
      </w:pPr>
      <w:r>
        <w:rPr>
          <w:rFonts w:ascii="Calibri" w:cs="Calibri" w:eastAsia="Calibri" w:hAnsi="Calibri"/>
          <w:b/>
          <w:bCs/>
          <w:i w:val="false"/>
          <w:iCs w:val="false"/>
          <w:color w:val="6E4FA3"/>
          <w:sz w:val="25"/>
          <w:szCs w:val="25"/>
        </w:rPr>
        <w:t xml:space="preserve">3.3 Interactive maps</w:t>
      </w:r>
    </w:p>
    <w:p>
      <w:pPr>
        <w:spacing w:after="120" w:before="0" w:line="276"/>
      </w:pPr>
      <w:r>
        <w:rPr>
          <w:rFonts w:ascii="Calibri" w:cs="Calibri" w:eastAsia="Calibri" w:hAnsi="Calibri"/>
          <w:b w:val="false"/>
          <w:bCs w:val="false"/>
          <w:i w:val="false"/>
          <w:iCs w:val="false"/>
          <w:color w:val="2B2338"/>
          <w:sz w:val="21"/>
          <w:szCs w:val="21"/>
        </w:rPr>
        <w:t xml:space="preserve">The client asked for interactive maps for both offices. Two decisions follow from the wider brief.</w:t>
      </w:r>
    </w:p>
    <w:p>
      <w:pPr>
        <w:spacing w:after="120" w:before="0" w:line="276"/>
      </w:pPr>
      <w:r>
        <w:rPr>
          <w:rFonts w:ascii="Calibri" w:cs="Calibri" w:eastAsia="Calibri" w:hAnsi="Calibri"/>
          <w:b/>
          <w:bCs/>
          <w:i w:val="false"/>
          <w:iCs w:val="false"/>
          <w:color w:val="2B2338"/>
          <w:sz w:val="21"/>
          <w:szCs w:val="21"/>
        </w:rPr>
        <w:t xml:space="preserve">Yandex Maps, not Google. </w:t>
      </w:r>
    </w:p>
    <w:p>
      <w:pPr>
        <w:spacing w:after="120" w:before="0" w:line="276"/>
      </w:pPr>
      <w:r>
        <w:rPr>
          <w:rFonts w:ascii="Calibri" w:cs="Calibri" w:eastAsia="Calibri" w:hAnsi="Calibri"/>
          <w:b w:val="false"/>
          <w:bCs w:val="false"/>
          <w:i w:val="false"/>
          <w:iCs w:val="false"/>
          <w:color w:val="2B2338"/>
          <w:sz w:val="21"/>
          <w:szCs w:val="21"/>
        </w:rPr>
        <w:t xml:space="preserve">Google Maps is unreliable for Russian visitors, and the entire hosting requirement for this project is that the site works from Russia without a VPN. A map that fails to load is worse than no map.</w:t>
      </w:r>
    </w:p>
    <w:p>
      <w:pPr>
        <w:spacing w:after="120" w:before="0" w:line="276"/>
      </w:pPr>
      <w:r>
        <w:rPr>
          <w:rFonts w:ascii="Calibri" w:cs="Calibri" w:eastAsia="Calibri" w:hAnsi="Calibri"/>
          <w:b/>
          <w:bCs/>
          <w:i w:val="false"/>
          <w:iCs w:val="false"/>
          <w:color w:val="2B2338"/>
          <w:sz w:val="21"/>
          <w:szCs w:val="21"/>
        </w:rPr>
        <w:t xml:space="preserve">Click to load, not automatic. </w:t>
      </w:r>
    </w:p>
    <w:p>
      <w:pPr>
        <w:spacing w:after="120" w:before="0" w:line="276"/>
      </w:pPr>
      <w:r>
        <w:rPr>
          <w:rFonts w:ascii="Calibri" w:cs="Calibri" w:eastAsia="Calibri" w:hAnsi="Calibri"/>
          <w:b w:val="false"/>
          <w:bCs w:val="false"/>
          <w:i w:val="false"/>
          <w:iCs w:val="false"/>
          <w:color w:val="2B2338"/>
          <w:sz w:val="21"/>
          <w:szCs w:val="21"/>
        </w:rPr>
        <w:t xml:space="preserve">Each map renders first as a styled placeholder carrying the address and a control to show the map, and only loads the embed when a visitor asks for it. The performance argument is obvious. The stronger argument is that an automatically loaded third-party embed sets cookies before the visitor has done anything, which the privacy policy would then have to cover for every visitor rather than for those who opt in. The privacy policy is updated in both languages either way.</w:t>
      </w:r>
    </w:p>
    <w:p>
      <w:pPr>
        <w:spacing w:after="120" w:before="0" w:line="276"/>
      </w:pPr>
      <w:r>
        <w:rPr>
          <w:rFonts w:ascii="Calibri" w:cs="Calibri" w:eastAsia="Calibri" w:hAnsi="Calibri"/>
          <w:b w:val="false"/>
          <w:bCs w:val="false"/>
          <w:i w:val="false"/>
          <w:iCs w:val="false"/>
          <w:color w:val="2B2338"/>
          <w:sz w:val="21"/>
          <w:szCs w:val="21"/>
        </w:rPr>
        <w:t xml:space="preserve">The placeholder is styled to the palette. A raw grey map tile against ivory and lilac will read as a broken element rather than a deliberate one.</w:t>
      </w:r>
    </w:p>
    <w:p>
      <w:pPr>
        <w:pStyle w:val="Heading1"/>
        <w:spacing w:after="140" w:before="360"/>
      </w:pPr>
      <w:r>
        <w:rPr>
          <w:rFonts w:ascii="Calibri" w:cs="Calibri" w:eastAsia="Calibri" w:hAnsi="Calibri"/>
          <w:b/>
          <w:bCs/>
          <w:i w:val="false"/>
          <w:iCs w:val="false"/>
          <w:color w:val="3E2C55"/>
          <w:sz w:val="30"/>
          <w:szCs w:val="30"/>
        </w:rPr>
        <w:t xml:space="preserve">4. Registration management: out of scope</w:t>
      </w:r>
    </w:p>
    <w:p>
      <w:pPr>
        <w:spacing w:after="120" w:before="0" w:line="276"/>
      </w:pPr>
      <w:r>
        <w:rPr>
          <w:rFonts w:ascii="Calibri" w:cs="Calibri" w:eastAsia="Calibri" w:hAnsi="Calibri"/>
          <w:b w:val="false"/>
          <w:bCs w:val="false"/>
          <w:i w:val="false"/>
          <w:iCs w:val="false"/>
          <w:color w:val="2B2338"/>
          <w:sz w:val="21"/>
          <w:szCs w:val="21"/>
        </w:rPr>
        <w:t xml:space="preserve">The client asked, in round 5, for applications to be stored in the website backend and managed by an administrator: viewing all registrations in one place, reviewing participant information, updating an application status across four values, and sending an email notification automatically when a status changes.</w:t>
      </w:r>
    </w:p>
    <w:p>
      <w:pPr>
        <w:spacing w:after="120" w:before="0" w:line="276"/>
      </w:pPr>
      <w:r>
        <w:rPr>
          <w:rFonts w:ascii="Calibri" w:cs="Calibri" w:eastAsia="Calibri" w:hAnsi="Calibri"/>
          <w:b w:val="false"/>
          <w:bCs w:val="false"/>
          <w:i w:val="false"/>
          <w:iCs w:val="false"/>
          <w:color w:val="2B2338"/>
          <w:sz w:val="21"/>
          <w:szCs w:val="21"/>
        </w:rPr>
        <w:t xml:space="preserve">This is declined, and the client has been informed. The reasoning is recorded here so it does not resurface as an open question.</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It is a software system, not a website feature. It requires a database, private file storage for business cards, an authenticated administrator area and a transactional email pipeline. None of these exist on this site, and none of them are a small addition to it.</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It carries obligations beyond the build: an infrastructure bill that continues indefinitely, backups and restores, security patching, and custody of the personal data of several hundred travel agents.</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It is incompatible with the handover. A repository can be transferred; a running database and authentication system cannot. Whoever builds it remains responsible for it long after launch.</w:t>
      </w:r>
    </w:p>
    <w:p>
      <w:pPr>
        <w:spacing w:after="120" w:before="120" w:line="276"/>
      </w:pPr>
      <w:r>
        <w:rPr>
          <w:rFonts w:ascii="Calibri" w:cs="Calibri" w:eastAsia="Calibri" w:hAnsi="Calibri"/>
          <w:b w:val="false"/>
          <w:bCs w:val="false"/>
          <w:i w:val="false"/>
          <w:iCs w:val="false"/>
          <w:color w:val="2B2338"/>
          <w:sz w:val="21"/>
          <w:szCs w:val="21"/>
        </w:rPr>
        <w:t xml:space="preserve">What the website does instead: the registration forms collect the information the client listed, including the business card upload, validate it, and email it to the team with the file attached. The website's responsibility ends there.</w:t>
      </w:r>
    </w:p>
    <w:p>
      <w:pPr>
        <w:spacing w:after="120" w:before="0" w:line="276"/>
      </w:pPr>
      <w:r>
        <w:rPr>
          <w:rFonts w:ascii="Calibri" w:cs="Calibri" w:eastAsia="Calibri" w:hAnsi="Calibri"/>
          <w:b w:val="false"/>
          <w:bCs w:val="false"/>
          <w:i w:val="false"/>
          <w:iCs w:val="false"/>
          <w:color w:val="2B2338"/>
          <w:sz w:val="21"/>
          <w:szCs w:val="21"/>
        </w:rPr>
        <w:t xml:space="preserve">If COATI later adopts a customer relationship management platform, connecting these existing forms to it is a small, separate piece of work and is offered on that basis. Nothing built now prevents it.</w:t>
      </w:r>
    </w:p>
    <w:p>
      <w:pPr>
        <w:spacing w:after="120" w:before="0" w:line="276"/>
      </w:pPr>
      <w:r>
        <w:rPr>
          <w:rFonts w:ascii="Calibri" w:cs="Calibri" w:eastAsia="Calibri" w:hAnsi="Calibri"/>
          <w:b w:val="false"/>
          <w:bCs w:val="false"/>
          <w:i w:val="false"/>
          <w:iCs w:val="false"/>
          <w:color w:val="2B2338"/>
          <w:sz w:val="21"/>
          <w:szCs w:val="21"/>
        </w:rPr>
        <w:t xml:space="preserve">Consequently: no database, no admin registrations screen, no status model and no status-change emails are to be built. The 152-FZ personal data storage question and the associated security obligations, which would have applied had this been built, are moot.</w:t>
      </w:r>
    </w:p>
    <w:p>
      <w:pPr>
        <w:pStyle w:val="Heading1"/>
        <w:spacing w:after="140" w:before="360"/>
      </w:pPr>
      <w:r>
        <w:rPr>
          <w:rFonts w:ascii="Calibri" w:cs="Calibri" w:eastAsia="Calibri" w:hAnsi="Calibri"/>
          <w:b/>
          <w:bCs/>
          <w:i w:val="false"/>
          <w:iCs w:val="false"/>
          <w:color w:val="3E2C55"/>
          <w:sz w:val="30"/>
          <w:szCs w:val="30"/>
        </w:rPr>
        <w:t xml:space="preserve">5. Navigation</w:t>
      </w:r>
    </w:p>
    <w:p>
      <w:pPr>
        <w:spacing w:after="120" w:before="0" w:line="276"/>
      </w:pPr>
      <w:r>
        <w:rPr>
          <w:rFonts w:ascii="Calibri" w:cs="Calibri" w:eastAsia="Calibri" w:hAnsi="Calibri"/>
          <w:b w:val="false"/>
          <w:bCs w:val="false"/>
          <w:i w:val="false"/>
          <w:iCs w:val="false"/>
          <w:color w:val="2B2338"/>
          <w:sz w:val="21"/>
          <w:szCs w:val="21"/>
        </w:rPr>
        <w:t xml:space="preserve">The English navigation item Tours becomes Programmes. Two reasons converge on this.</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The Russian navigation has read PROGRAMMY since round 1, at the client's request, so the two locales currently express different concepts.</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Tours does not describe a workshop in Moscow. Programmes covers both formats, which is what the calendar now contains.</w:t>
      </w:r>
    </w:p>
    <w:p>
      <w:pPr>
        <w:spacing w:after="120" w:before="120" w:line="276"/>
      </w:pPr>
      <w:r>
        <w:rPr>
          <w:rFonts w:ascii="Calibri" w:cs="Calibri" w:eastAsia="Calibri" w:hAnsi="Calibri"/>
          <w:b w:val="false"/>
          <w:bCs w:val="false"/>
          <w:i w:val="false"/>
          <w:iCs w:val="false"/>
          <w:color w:val="2B2338"/>
          <w:sz w:val="21"/>
          <w:szCs w:val="21"/>
        </w:rPr>
        <w:t xml:space="preserve">The route stays as it is, for the same reason the tour slug does. Renaming a live URL to match a label change is churn a visitor never sees.</w:t>
      </w:r>
    </w:p>
    <w:p>
      <w:pPr>
        <w:pStyle w:val="Heading1"/>
        <w:spacing w:after="140" w:before="360"/>
      </w:pPr>
      <w:r>
        <w:rPr>
          <w:rFonts w:ascii="Calibri" w:cs="Calibri" w:eastAsia="Calibri" w:hAnsi="Calibri"/>
          <w:b/>
          <w:bCs/>
          <w:i w:val="false"/>
          <w:iCs w:val="false"/>
          <w:color w:val="3E2C55"/>
          <w:sz w:val="30"/>
          <w:szCs w:val="30"/>
        </w:rPr>
        <w:t xml:space="preserve">6. Defect: internal notes published as copy</w:t>
      </w:r>
    </w:p>
    <w:p>
      <w:pPr>
        <w:spacing w:after="120" w:before="0" w:line="276"/>
      </w:pPr>
      <w:r>
        <w:rPr>
          <w:rFonts w:ascii="Calibri" w:cs="Calibri" w:eastAsia="Calibri" w:hAnsi="Calibri"/>
          <w:b w:val="false"/>
          <w:bCs w:val="false"/>
          <w:i w:val="false"/>
          <w:iCs w:val="false"/>
          <w:color w:val="2B2338"/>
          <w:sz w:val="21"/>
          <w:szCs w:val="21"/>
        </w:rPr>
        <w:t xml:space="preserve">Discovered while reviewing the deployed site on 3 August. Working notes were written into tour content as visitor-facing copy and are live. On the Tour 2 page a visitor currently reads that the end date was revised per the client's calendar, and that Madifushi's inclusion is being confirmed with the client. Three itinerary stops are labelled Resort stop 1, Resort stop 2 and Resort stop 3.</w:t>
      </w:r>
    </w:p>
    <w:p>
      <w:pPr>
        <w:spacing w:after="120" w:before="0" w:line="276"/>
      </w:pPr>
      <w:r>
        <w:rPr>
          <w:rFonts w:ascii="Calibri" w:cs="Calibri" w:eastAsia="Calibri" w:hAnsi="Calibri"/>
          <w:b w:val="false"/>
          <w:bCs w:val="false"/>
          <w:i w:val="false"/>
          <w:iCs w:val="false"/>
          <w:color w:val="2B2338"/>
          <w:sz w:val="21"/>
          <w:szCs w:val="21"/>
        </w:rPr>
        <w:t xml:space="preserve">The effect is that the client is reading their own project status back off their own website. This is the highest-priority fix in the round and precedes all other round 5 work.</w:t>
      </w:r>
    </w:p>
    <w:p>
      <w:pPr>
        <w:spacing w:after="120" w:before="0" w:line="276"/>
      </w:pPr>
      <w:r>
        <w:rPr>
          <w:rFonts w:ascii="Calibri" w:cs="Calibri" w:eastAsia="Calibri" w:hAnsi="Calibri"/>
          <w:b w:val="false"/>
          <w:bCs w:val="false"/>
          <w:i w:val="false"/>
          <w:iCs w:val="false"/>
          <w:color w:val="2B2338"/>
          <w:sz w:val="21"/>
          <w:szCs w:val="21"/>
        </w:rPr>
        <w:t xml:space="preserve">The remedy is not only to delete the three strings. Every file under the content directory needs auditing for the same class of leak: any string addressed to the project team rather than to a visitor. The guardrail already exists, requiring that no fabricated or provisional content ships; what was missing is a check that reads the rendered page as a visitor would.</w:t>
      </w:r>
    </w:p>
    <w:p>
      <w:pPr>
        <w:spacing w:after="120" w:before="0" w:line="276"/>
      </w:pPr>
      <w:r>
        <w:rPr>
          <w:rFonts w:ascii="Calibri" w:cs="Calibri" w:eastAsia="Calibri" w:hAnsi="Calibri"/>
          <w:b w:val="false"/>
          <w:bCs w:val="false"/>
          <w:i w:val="false"/>
          <w:iCs w:val="false"/>
          <w:color w:val="2B2338"/>
          <w:sz w:val="21"/>
          <w:szCs w:val="21"/>
        </w:rPr>
        <w:t xml:space="preserve">Related, and worth acting on: the final quality assurance sweep is marked complete in the build plan while all nine of its checklist items are unticked. It did not catch this. Re-run it properly before handover rather than relying on the tick.</w:t>
      </w:r>
    </w:p>
    <w:p>
      <w:pPr>
        <w:pStyle w:val="Heading1"/>
        <w:spacing w:after="140" w:before="360"/>
      </w:pPr>
      <w:r>
        <w:rPr>
          <w:rFonts w:ascii="Calibri" w:cs="Calibri" w:eastAsia="Calibri" w:hAnsi="Calibri"/>
          <w:b/>
          <w:bCs/>
          <w:i w:val="false"/>
          <w:iCs w:val="false"/>
          <w:color w:val="3E2C55"/>
          <w:sz w:val="30"/>
          <w:szCs w:val="30"/>
        </w:rPr>
        <w:t xml:space="preserve">7. Handover, revised</w:t>
      </w:r>
    </w:p>
    <w:p>
      <w:pPr>
        <w:spacing w:after="120" w:before="0" w:line="276"/>
      </w:pPr>
      <w:r>
        <w:rPr>
          <w:rFonts w:ascii="Calibri" w:cs="Calibri" w:eastAsia="Calibri" w:hAnsi="Calibri"/>
          <w:b w:val="false"/>
          <w:bCs w:val="false"/>
          <w:i w:val="false"/>
          <w:iCs w:val="false"/>
          <w:color w:val="2B2338"/>
          <w:sz w:val="21"/>
          <w:szCs w:val="21"/>
        </w:rPr>
        <w:t xml:space="preserve">v2.1 specified a zip archive with secrets scrubbed. The client subsequently asked whether a Git repository would serve instead. It would, and it must.</w:t>
      </w:r>
    </w:p>
    <w:p>
      <w:pPr>
        <w:spacing w:after="120" w:before="0" w:line="276"/>
      </w:pPr>
      <w:r>
        <w:rPr>
          <w:rFonts w:ascii="Calibri" w:cs="Calibri" w:eastAsia="Calibri" w:hAnsi="Calibri"/>
          <w:b w:val="false"/>
          <w:bCs w:val="false"/>
          <w:i w:val="false"/>
          <w:iCs w:val="false"/>
          <w:color w:val="2B2338"/>
          <w:sz w:val="21"/>
          <w:szCs w:val="21"/>
        </w:rPr>
        <w:t xml:space="preserve">The content portal commits content changes to the repository and relies on the host rebuilding the site when it receives them. A site delivered as a zip and uploaded to a conventional host has no repository to commit to and nothing listening to rebuild. A zip handover and a working content portal are mutually exclusive, and the portal is the client's stated priority.</w:t>
      </w:r>
    </w:p>
    <w:p>
      <w:pPr>
        <w:spacing w:after="120" w:before="0" w:line="276"/>
      </w:pPr>
      <w:r>
        <w:rPr>
          <w:rFonts w:ascii="Calibri" w:cs="Calibri" w:eastAsia="Calibri" w:hAnsi="Calibri"/>
          <w:b w:val="false"/>
          <w:bCs w:val="false"/>
          <w:i w:val="false"/>
          <w:iCs w:val="false"/>
          <w:color w:val="2B2338"/>
          <w:sz w:val="21"/>
          <w:szCs w:val="21"/>
        </w:rPr>
        <w:t xml:space="preserve">Handover is therefore a repository transfer, with three requirements.</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A squashed history. Files ignored today may still exist in earlier commits; anything ever committed remains recoverable. The repository is rebuilt as a single initial commit, and any credential found in the old history is rotated rather than merely removed, because a squash hides a secret from the new repository but does not un-expose one already pushed.</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Transfer into a COATI organisation account rather than a personal one, so that the client's ability to edit their own website does not depend on an individual's account continuing to exist.</w:t>
      </w:r>
    </w:p>
    <w:p>
      <w:pPr>
        <w:pStyle w:val="ListParagraph"/>
        <w:numPr>
          <w:ilvl w:val="0"/>
          <w:numId w:val="2"/>
        </w:numPr>
        <w:spacing w:after="80" w:line="276"/>
      </w:pPr>
      <w:r>
        <w:rPr>
          <w:rFonts w:ascii="Calibri" w:cs="Calibri" w:eastAsia="Calibri" w:hAnsi="Calibri"/>
          <w:b w:val="false"/>
          <w:bCs w:val="false"/>
          <w:i w:val="false"/>
          <w:iCs w:val="false"/>
          <w:color w:val="2B2338"/>
          <w:sz w:val="21"/>
          <w:szCs w:val="21"/>
        </w:rPr>
        <w:t xml:space="preserve">No Cloudflare in any recommended DNS or content delivery configuration. Russian visitors must reach the site without a VPN.</w:t>
      </w:r>
    </w:p>
    <w:p>
      <w:pPr>
        <w:spacing w:after="120" w:before="120" w:line="276"/>
      </w:pPr>
      <w:r>
        <w:rPr>
          <w:rFonts w:ascii="Calibri" w:cs="Calibri" w:eastAsia="Calibri" w:hAnsi="Calibri"/>
          <w:b w:val="false"/>
          <w:bCs w:val="false"/>
          <w:i w:val="false"/>
          <w:iCs w:val="false"/>
          <w:color w:val="2B2338"/>
          <w:sz w:val="21"/>
          <w:szCs w:val="21"/>
        </w:rPr>
        <w:t xml:space="preserve">The full procedure, with commands, is in WePresent-Auth-and-Handover-Guide.md.</w:t>
      </w:r>
    </w:p>
    <w:p>
      <w:pPr>
        <w:pStyle w:val="Heading1"/>
        <w:spacing w:after="140" w:before="360"/>
      </w:pPr>
      <w:r>
        <w:rPr>
          <w:rFonts w:ascii="Calibri" w:cs="Calibri" w:eastAsia="Calibri" w:hAnsi="Calibri"/>
          <w:b/>
          <w:bCs/>
          <w:i w:val="false"/>
          <w:iCs w:val="false"/>
          <w:color w:val="3E2C55"/>
          <w:sz w:val="30"/>
          <w:szCs w:val="30"/>
        </w:rPr>
        <w:t xml:space="preserve">8. Content portal authentication</w:t>
      </w:r>
    </w:p>
    <w:p>
      <w:pPr>
        <w:spacing w:after="120" w:before="0" w:line="276"/>
      </w:pPr>
      <w:r>
        <w:rPr>
          <w:rFonts w:ascii="Calibri" w:cs="Calibri" w:eastAsia="Calibri" w:hAnsi="Calibri"/>
          <w:b w:val="false"/>
          <w:bCs w:val="false"/>
          <w:i w:val="false"/>
          <w:iCs w:val="false"/>
          <w:color w:val="2B2338"/>
          <w:sz w:val="21"/>
          <w:szCs w:val="21"/>
        </w:rPr>
        <w:t xml:space="preserve">The portal currently authenticates through a local proxy, which works during development and not in production. On the deployed site the portal must complete an authentication exchange that has to happen server-side, because it involves a secret that cannot safely be sent to a browser.</w:t>
      </w:r>
    </w:p>
    <w:p>
      <w:pPr>
        <w:spacing w:after="120" w:before="0" w:line="276"/>
      </w:pPr>
      <w:r>
        <w:rPr>
          <w:rFonts w:ascii="Calibri" w:cs="Calibri" w:eastAsia="Calibri" w:hAnsi="Calibri"/>
          <w:b w:val="false"/>
          <w:bCs w:val="false"/>
          <w:i w:val="false"/>
          <w:iCs w:val="false"/>
          <w:color w:val="2B2338"/>
          <w:sz w:val="21"/>
          <w:szCs w:val="21"/>
        </w:rPr>
        <w:t xml:space="preserve">The hosted shortcuts that used to solve this have been deprecated by their provider and must not be built on. The site therefore carries its own small handler: two routes, roughly sixty lines, vendor-neutral, which work wherever the site is eventually hosted.</w:t>
      </w:r>
    </w:p>
    <w:p>
      <w:pPr>
        <w:spacing w:after="120" w:before="0" w:line="276"/>
      </w:pPr>
      <w:r>
        <w:rPr>
          <w:rFonts w:ascii="Calibri" w:cs="Calibri" w:eastAsia="Calibri" w:hAnsi="Calibri"/>
          <w:b w:val="false"/>
          <w:bCs w:val="false"/>
          <w:i w:val="false"/>
          <w:iCs w:val="false"/>
          <w:color w:val="2B2338"/>
          <w:sz w:val="21"/>
          <w:szCs w:val="21"/>
        </w:rPr>
        <w:t xml:space="preserve">One dependency deserves testing before it is relied upon. Editing goes through the code hosting provider's interface from the editor's own browser, so that provider must be reachable from Moscow without a VPN. If it is not, the portal switches to an alternative backend, one of which needs no handler at all and one of which can be hosted inside Russia. This is a configuration change, not a rebuild, but it must be established before launch rather than discovered at it.</w:t>
      </w:r>
    </w:p>
    <w:p>
      <w:pPr>
        <w:spacing w:after="120" w:before="0" w:line="276"/>
      </w:pPr>
      <w:r>
        <w:rPr>
          <w:rFonts w:ascii="Calibri" w:cs="Calibri" w:eastAsia="Calibri" w:hAnsi="Calibri"/>
          <w:b w:val="false"/>
          <w:bCs w:val="false"/>
          <w:i w:val="false"/>
          <w:iCs w:val="false"/>
          <w:color w:val="2B2338"/>
          <w:sz w:val="21"/>
          <w:szCs w:val="21"/>
        </w:rPr>
        <w:t xml:space="preserve">Implementation detail is in WePresent-Auth-and-Handover-Guide.md, Part 1.</w:t>
      </w:r>
    </w:p>
    <w:p>
      <w:pPr>
        <w:pStyle w:val="Heading1"/>
        <w:spacing w:after="140" w:before="360"/>
      </w:pPr>
      <w:r>
        <w:rPr>
          <w:rFonts w:ascii="Calibri" w:cs="Calibri" w:eastAsia="Calibri" w:hAnsi="Calibri"/>
          <w:b/>
          <w:bCs/>
          <w:i w:val="false"/>
          <w:iCs w:val="false"/>
          <w:color w:val="3E2C55"/>
          <w:sz w:val="30"/>
          <w:szCs w:val="30"/>
        </w:rPr>
        <w:t xml:space="preserve">9. Status of rounds 2 to 4</w:t>
      </w:r>
    </w:p>
    <w:p>
      <w:pPr>
        <w:spacing w:after="120" w:before="0" w:line="276"/>
      </w:pPr>
      <w:r>
        <w:rPr>
          <w:rFonts w:ascii="Calibri" w:cs="Calibri" w:eastAsia="Calibri" w:hAnsi="Calibri"/>
          <w:b w:val="false"/>
          <w:bCs w:val="false"/>
          <w:i w:val="false"/>
          <w:iCs w:val="false"/>
          <w:color w:val="2B2338"/>
          <w:sz w:val="21"/>
          <w:szCs w:val="21"/>
        </w:rPr>
        <w:t xml:space="preserve">v2.1 stated that the repository reflected round 1 only, and that everything in v1.9, v2.0 and v2.1 was outstanding. That was accurate when written and was overtaken within hours by the build session of 1 August.</w:t>
      </w:r>
    </w:p>
    <w:p>
      <w:pPr>
        <w:spacing w:after="120" w:before="0" w:line="276"/>
      </w:pPr>
      <w:r>
        <w:rPr>
          <w:rFonts w:ascii="Calibri" w:cs="Calibri" w:eastAsia="Calibri" w:hAnsi="Calibri"/>
          <w:b w:val="false"/>
          <w:bCs w:val="false"/>
          <w:i w:val="false"/>
          <w:iCs w:val="false"/>
          <w:color w:val="2B2338"/>
          <w:sz w:val="21"/>
          <w:szCs w:val="21"/>
        </w:rPr>
        <w:t xml:space="preserve">The current position: rounds 2, 3 and 4 are built and deployed. The About page has been rebuilt as a B2B platform with the audience split, Destinations has replaced Resorts, the Cases section exists with seeded content and detail pages, the Cinnamon, Oman and Kenya programmes are in the calendar, the atoll corrections are live, the inclusions block has been revised, the gated programme PDF mechanism works, and the hero treatment has been corrected.</w:t>
      </w:r>
    </w:p>
    <w:p>
      <w:pPr>
        <w:spacing w:after="120" w:before="0" w:line="276"/>
      </w:pPr>
      <w:r>
        <w:rPr>
          <w:rFonts w:ascii="Calibri" w:cs="Calibri" w:eastAsia="Calibri" w:hAnsi="Calibri"/>
          <w:b w:val="false"/>
          <w:bCs w:val="false"/>
          <w:i w:val="false"/>
          <w:iCs w:val="false"/>
          <w:color w:val="2B2338"/>
          <w:sz w:val="21"/>
          <w:szCs w:val="21"/>
        </w:rPr>
        <w:t xml:space="preserve">Genuinely outstanding from earlier rounds: the systematic contrast pass, the partner logo standardisation, which remains blocked on receiving web-format files, and the handover package. Partner logos are now the longest-running blocker on the project.</w:t>
      </w:r>
    </w:p>
    <w:p>
      <w:pPr>
        <w:pStyle w:val="Heading1"/>
        <w:spacing w:after="140" w:before="360"/>
      </w:pPr>
      <w:r>
        <w:rPr>
          <w:rFonts w:ascii="Calibri" w:cs="Calibri" w:eastAsia="Calibri" w:hAnsi="Calibri"/>
          <w:b/>
          <w:bCs/>
          <w:i w:val="false"/>
          <w:iCs w:val="false"/>
          <w:color w:val="3E2C55"/>
          <w:sz w:val="30"/>
          <w:szCs w:val="30"/>
        </w:rPr>
        <w:t xml:space="preserve">10. How the build is sequenced</w:t>
      </w:r>
    </w:p>
    <w:p>
      <w:pPr>
        <w:spacing w:after="120" w:before="0" w:line="276"/>
      </w:pPr>
      <w:r>
        <w:rPr>
          <w:rFonts w:ascii="Calibri" w:cs="Calibri" w:eastAsia="Calibri" w:hAnsi="Calibri"/>
          <w:b w:val="false"/>
          <w:bCs w:val="false"/>
          <w:i w:val="false"/>
          <w:iCs w:val="false"/>
          <w:color w:val="2B2338"/>
          <w:sz w:val="21"/>
          <w:szCs w:val="21"/>
        </w:rPr>
        <w:t xml:space="preserve">Round 5 adds seven work orders, WO-80 to WO-86, to BUILD-PLAN.md. They are ordered so that the published defect is corrected first, then the tour that runs soonest, then the self-contained contact work, then the new event type.</w:t>
      </w:r>
    </w:p>
    <w:tbl>
      <w:tblPr>
        <w:tblW w:type="dxa" w:w="9360"/>
        <w:tblBorders>
          <w:top w:val="single" w:sz="4"/>
          <w:left w:val="single" w:sz="4"/>
          <w:bottom w:val="single" w:sz="4"/>
          <w:right w:val="single" w:sz="4"/>
          <w:insideH w:val="single" w:sz="4"/>
          <w:insideV w:val="single" w:sz="4"/>
        </w:tblBorders>
      </w:tblPr>
      <w:tblGrid>
        <w:gridCol w:w="1400"/>
        <w:gridCol w:w="4700"/>
        <w:gridCol w:w="3260"/>
      </w:tblGrid>
      <w:tr>
        <w:trPr>
          <w:tblHeader/>
        </w:trPr>
        <w:tc>
          <w:tcPr>
            <w:tcW w:type="dxa" w:w="14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Order</w:t>
            </w:r>
          </w:p>
        </w:tc>
        <w:tc>
          <w:tcPr>
            <w:tcW w:type="dxa" w:w="47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Scope</w:t>
            </w:r>
          </w:p>
        </w:tc>
        <w:tc>
          <w:tcPr>
            <w:tcW w:type="dxa" w:w="32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Note</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WO-80</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Remove internal notes from published tour copy</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Do first. Currently live.</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WO-81</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Tour 2: dates, TTM as optional, rename</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Tour runs in three weeks.</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WO-82</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Office phone and both addresses</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Self-contained.</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WO-83</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Interactive maps, click to load</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Includes a privacy policy update.</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WO-84</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Add the Workshop to the calendar</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Coming-soon state.</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WO-85</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Workshop registration path</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Reuses the existing form.</w:t>
            </w:r>
          </w:p>
        </w:tc>
      </w:tr>
      <w:tr>
        <w:trPr>
          <w:tblHeader w:val="false"/>
        </w:trPr>
        <w:tc>
          <w:tcPr>
            <w:tcW w:type="dxa" w:w="14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WO-86</w:t>
            </w:r>
          </w:p>
        </w:tc>
        <w:tc>
          <w:tcPr>
            <w:tcW w:type="dxa" w:w="47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Rename the English nav item to Programmes</w:t>
            </w:r>
          </w:p>
        </w:tc>
        <w:tc>
          <w:tcPr>
            <w:tcW w:type="dxa" w:w="32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Label only, route unchanged.</w:t>
            </w:r>
          </w:p>
        </w:tc>
      </w:tr>
    </w:tbl>
    <w:p>
      <w:pPr>
        <w:spacing w:after="120" w:before="120" w:line="276"/>
      </w:pPr>
      <w:r>
        <w:rPr>
          <w:rFonts w:ascii="Calibri" w:cs="Calibri" w:eastAsia="Calibri" w:hAnsi="Calibri"/>
          <w:b w:val="false"/>
          <w:bCs w:val="false"/>
          <w:i w:val="false"/>
          <w:iCs w:val="false"/>
          <w:color w:val="2B2338"/>
          <w:sz w:val="21"/>
          <w:szCs w:val="21"/>
        </w:rPr>
        <w:t xml:space="preserve">Each order states its origin, the files it touches, the steps, what counts as acceptance and how to verify it. Orders blocked on missing assets are marked and can be skipped without stalling the sequence.</w:t>
      </w:r>
    </w:p>
    <w:p>
      <w:pPr>
        <w:pStyle w:val="Heading1"/>
        <w:spacing w:after="140" w:before="360"/>
      </w:pPr>
      <w:r>
        <w:rPr>
          <w:rFonts w:ascii="Calibri" w:cs="Calibri" w:eastAsia="Calibri" w:hAnsi="Calibri"/>
          <w:b/>
          <w:bCs/>
          <w:i w:val="false"/>
          <w:iCs w:val="false"/>
          <w:color w:val="3E2C55"/>
          <w:sz w:val="30"/>
          <w:szCs w:val="30"/>
        </w:rPr>
        <w:t xml:space="preserve">Appendix A: Workshop copy</w:t>
      </w:r>
    </w:p>
    <w:p>
      <w:pPr>
        <w:spacing w:after="120" w:before="0" w:line="276"/>
      </w:pPr>
      <w:r>
        <w:rPr>
          <w:rFonts w:ascii="Calibri" w:cs="Calibri" w:eastAsia="Calibri" w:hAnsi="Calibri"/>
          <w:b w:val="false"/>
          <w:bCs w:val="false"/>
          <w:i w:val="false"/>
          <w:iCs w:val="false"/>
          <w:color w:val="2B2338"/>
          <w:sz w:val="21"/>
          <w:szCs w:val="21"/>
        </w:rPr>
        <w:t xml:space="preserve">English is written from the client's own wording of 3 August. Russian is translated from it. House style applies: no em dashes.</w:t>
      </w:r>
    </w:p>
    <w:p>
      <w:pPr>
        <w:pStyle w:val="Heading3"/>
        <w:spacing w:after="140" w:before="240"/>
      </w:pPr>
      <w:r>
        <w:rPr>
          <w:rFonts w:ascii="Calibri" w:cs="Calibri" w:eastAsia="Calibri" w:hAnsi="Calibri"/>
          <w:b/>
          <w:bCs/>
          <w:i w:val="false"/>
          <w:iCs w:val="false"/>
          <w:color w:val="6E4FA3"/>
          <w:sz w:val="22"/>
          <w:szCs w:val="22"/>
        </w:rPr>
        <w:t xml:space="preserve">A.1 Introduction</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The first We Present Workshop takes place in Moscow in November 2026. It brings together partners from the COATI collection, including hotels, resorts and destinations, for a professional networking and educational event: presentations, product updates, brainstorming sessions and business networking.</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Первый We Present Workshop пройдёт в Москве в ноябре 2026 года. Он объединит партнёров коллекции COATI, включая отели, курорты и направления, в формате профессионального делового и образовательного мероприятия: презентации, обновления по продуктам, мозговые штурмы и деловой нетворкинг.</w:t>
      </w:r>
    </w:p>
    <w:p>
      <w:pPr>
        <w:pStyle w:val="Heading3"/>
        <w:spacing w:after="140" w:before="240"/>
      </w:pPr>
      <w:r>
        <w:rPr>
          <w:rFonts w:ascii="Calibri" w:cs="Calibri" w:eastAsia="Calibri" w:hAnsi="Calibri"/>
          <w:b/>
          <w:bCs/>
          <w:i w:val="false"/>
          <w:iCs w:val="false"/>
          <w:color w:val="6E4FA3"/>
          <w:sz w:val="22"/>
          <w:szCs w:val="22"/>
        </w:rPr>
        <w:t xml:space="preserve">A.2 For agents</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Travel agents are invited to register and attend at no cost.</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Travel-агенты приглашаются к участию. Участие бесплатное.</w:t>
      </w:r>
    </w:p>
    <w:p>
      <w:pPr>
        <w:pStyle w:val="Heading3"/>
        <w:spacing w:after="140" w:before="240"/>
      </w:pPr>
      <w:r>
        <w:rPr>
          <w:rFonts w:ascii="Calibri" w:cs="Calibri" w:eastAsia="Calibri" w:hAnsi="Calibri"/>
          <w:b/>
          <w:bCs/>
          <w:i w:val="false"/>
          <w:iCs w:val="false"/>
          <w:color w:val="6E4FA3"/>
          <w:sz w:val="22"/>
          <w:szCs w:val="22"/>
        </w:rPr>
        <w:t xml:space="preserve">A.3 Coming-soon state</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Exact dates, venue and programme will be announced. Register your interest and we will be in touch as details are confirmed.</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Точные даты, площадка и программа будут объявлены. Оставьте заявку, и мы свяжемся с вами по мере подтверждения деталей.</w:t>
      </w:r>
    </w:p>
    <w:p>
      <w:pPr>
        <w:pStyle w:val="Heading3"/>
        <w:spacing w:after="140" w:before="240"/>
      </w:pPr>
      <w:r>
        <w:rPr>
          <w:rFonts w:ascii="Calibri" w:cs="Calibri" w:eastAsia="Calibri" w:hAnsi="Calibri"/>
          <w:b/>
          <w:bCs/>
          <w:i w:val="false"/>
          <w:iCs w:val="false"/>
          <w:color w:val="6E4FA3"/>
          <w:sz w:val="22"/>
          <w:szCs w:val="22"/>
        </w:rPr>
        <w:t xml:space="preserve">A.4 Calendar card</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Moscow · Dates to be confirmed</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Москва · Даты уточняются</w:t>
      </w:r>
    </w:p>
    <w:p>
      <w:pPr>
        <w:pStyle w:val="Heading1"/>
        <w:spacing w:after="140" w:before="360"/>
      </w:pPr>
      <w:r>
        <w:rPr>
          <w:rFonts w:ascii="Calibri" w:cs="Calibri" w:eastAsia="Calibri" w:hAnsi="Calibri"/>
          <w:b/>
          <w:bCs/>
          <w:i w:val="false"/>
          <w:iCs w:val="false"/>
          <w:color w:val="3E2C55"/>
          <w:sz w:val="30"/>
          <w:szCs w:val="30"/>
        </w:rPr>
        <w:t xml:space="preserve">Appendix B: Tour 2 copy</w:t>
      </w:r>
    </w:p>
    <w:p>
      <w:pPr>
        <w:pStyle w:val="Heading3"/>
        <w:spacing w:after="140" w:before="240"/>
      </w:pPr>
      <w:r>
        <w:rPr>
          <w:rFonts w:ascii="Calibri" w:cs="Calibri" w:eastAsia="Calibri" w:hAnsi="Calibri"/>
          <w:b/>
          <w:bCs/>
          <w:i w:val="false"/>
          <w:iCs w:val="false"/>
          <w:color w:val="6E4FA3"/>
          <w:sz w:val="22"/>
          <w:szCs w:val="22"/>
        </w:rPr>
        <w:t xml:space="preserve">B.1 Dates</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28 August – 5 September 2026</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28 августа – 5 сентября 2026</w:t>
      </w:r>
    </w:p>
    <w:p>
      <w:pPr>
        <w:pStyle w:val="Heading3"/>
        <w:spacing w:after="140" w:before="240"/>
      </w:pPr>
      <w:r>
        <w:rPr>
          <w:rFonts w:ascii="Calibri" w:cs="Calibri" w:eastAsia="Calibri" w:hAnsi="Calibri"/>
          <w:b/>
          <w:bCs/>
          <w:i w:val="false"/>
          <w:iCs w:val="false"/>
          <w:color w:val="6E4FA3"/>
          <w:sz w:val="22"/>
          <w:szCs w:val="22"/>
        </w:rPr>
        <w:t xml:space="preserve">B.2 Summary, replacing the current text</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A Maldives programme across four partner resorts, with the option of attending Travel Trade Maldives beforehand.</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Программа по Мальдивам с посещением четырёх курортов-партнёров и возможностью принять участие в Travel Trade Maldives до её начала.</w:t>
      </w:r>
    </w:p>
    <w:p>
      <w:pPr>
        <w:pStyle w:val="Heading3"/>
        <w:spacing w:after="140" w:before="240"/>
      </w:pPr>
      <w:r>
        <w:rPr>
          <w:rFonts w:ascii="Calibri" w:cs="Calibri" w:eastAsia="Calibri" w:hAnsi="Calibri"/>
          <w:b/>
          <w:bCs/>
          <w:i w:val="false"/>
          <w:iCs w:val="false"/>
          <w:color w:val="6E4FA3"/>
          <w:sz w:val="22"/>
          <w:szCs w:val="22"/>
        </w:rPr>
        <w:t xml:space="preserve">B.3 TTM block</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Travel Trade Maldives 2026 takes place on 26 and 27 August, before the tour begins. Attendance is optional. Participants may combine the tour with one of the leading trade events in the Maldives, or join the tour without attending TTM.</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Travel Trade Maldives 2026 проходит 26 и 27 августа, до начала тура. Участие по желанию. Участники могут совместить тур с одним из ведущих отраслевых событий Мальдив или присоединиться к туру без посещения TTM.</w:t>
      </w:r>
    </w:p>
    <w:p>
      <w:pPr>
        <w:pStyle w:val="Heading3"/>
        <w:spacing w:after="140" w:before="240"/>
      </w:pPr>
      <w:r>
        <w:rPr>
          <w:rFonts w:ascii="Calibri" w:cs="Calibri" w:eastAsia="Calibri" w:hAnsi="Calibri"/>
          <w:b/>
          <w:bCs/>
          <w:i w:val="false"/>
          <w:iCs w:val="false"/>
          <w:color w:val="6E4FA3"/>
          <w:sz w:val="22"/>
          <w:szCs w:val="22"/>
        </w:rPr>
        <w:t xml:space="preserve">B.4 Itinerary stop notes, replacing the placeholders</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Reef-fringed island, the opening leg.</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Остров в обрамлении рифа, первый этап программы.</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One of the newest islands in Lhaviyani Atoll.</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Один из самых новых островов атолла Лавиани.</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South Male Atoll, one lagoon from the capital.</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Южный Мале Атолл, в одной лагуне от столицы.</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A private-island retreat for the closing leg.</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Уединённый частный остров на завершающем этапе.</w:t>
      </w:r>
    </w:p>
    <w:p>
      <w:pPr>
        <w:pStyle w:val="Heading1"/>
        <w:spacing w:after="140" w:before="360"/>
      </w:pPr>
      <w:r>
        <w:rPr>
          <w:rFonts w:ascii="Calibri" w:cs="Calibri" w:eastAsia="Calibri" w:hAnsi="Calibri"/>
          <w:b/>
          <w:bCs/>
          <w:i w:val="false"/>
          <w:iCs w:val="false"/>
          <w:color w:val="3E2C55"/>
          <w:sz w:val="30"/>
          <w:szCs w:val="30"/>
        </w:rPr>
        <w:t xml:space="preserve">Appendix C: contact strings</w:t>
      </w:r>
    </w:p>
    <w:p>
      <w:pPr>
        <w:pStyle w:val="Heading3"/>
        <w:spacing w:after="140" w:before="240"/>
      </w:pPr>
      <w:r>
        <w:rPr>
          <w:rFonts w:ascii="Calibri" w:cs="Calibri" w:eastAsia="Calibri" w:hAnsi="Calibri"/>
          <w:b/>
          <w:bCs/>
          <w:i w:val="false"/>
          <w:iCs w:val="false"/>
          <w:color w:val="6E4FA3"/>
          <w:sz w:val="22"/>
          <w:szCs w:val="22"/>
        </w:rPr>
        <w:t xml:space="preserve">C.1 Labels</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Mobile / WhatsApp</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Мобильный / WhatsApp</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Office</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Офис</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Show map</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Показать карту</w:t>
      </w:r>
    </w:p>
    <w:p>
      <w:pPr>
        <w:pStyle w:val="Heading3"/>
        <w:spacing w:after="140" w:before="240"/>
      </w:pPr>
      <w:r>
        <w:rPr>
          <w:rFonts w:ascii="Calibri" w:cs="Calibri" w:eastAsia="Calibri" w:hAnsi="Calibri"/>
          <w:b/>
          <w:bCs/>
          <w:i w:val="false"/>
          <w:iCs w:val="false"/>
          <w:color w:val="6E4FA3"/>
          <w:sz w:val="22"/>
          <w:szCs w:val="22"/>
        </w:rPr>
        <w:t xml:space="preserve">C.2 Addresses</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Moscow: White Stone, 4th Lesnoy Pereulok, 4</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Москва: БЦ White Stone, 4-й Лесной переулок, 4</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St Petersburg: Regus Nevsky Plaza, Nevsky Prospect, 55</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Санкт-Петербург: Regus Невский Плаза, Невский проспект, 55</w:t>
      </w:r>
    </w:p>
    <w:p>
      <w:pPr>
        <w:pStyle w:val="Heading3"/>
        <w:spacing w:after="140" w:before="240"/>
      </w:pPr>
      <w:r>
        <w:rPr>
          <w:rFonts w:ascii="Calibri" w:cs="Calibri" w:eastAsia="Calibri" w:hAnsi="Calibri"/>
          <w:b/>
          <w:bCs/>
          <w:i w:val="false"/>
          <w:iCs w:val="false"/>
          <w:color w:val="6E4FA3"/>
          <w:sz w:val="22"/>
          <w:szCs w:val="22"/>
        </w:rPr>
        <w:t xml:space="preserve">C.3 Navigation</w:t>
      </w:r>
    </w:p>
    <w:p>
      <w:pPr>
        <w:spacing w:after="60" w:before="0" w:line="276"/>
      </w:pPr>
      <w:r>
        <w:rPr>
          <w:rFonts w:ascii="Calibri" w:cs="Calibri" w:eastAsia="Calibri" w:hAnsi="Calibri"/>
          <w:b/>
          <w:bCs/>
          <w:i w:val="false"/>
          <w:iCs w:val="false"/>
          <w:color w:val="6E4FA3"/>
          <w:sz w:val="21"/>
          <w:szCs w:val="21"/>
        </w:rPr>
        <w:t xml:space="preserve">EN: </w:t>
      </w:r>
      <w:r>
        <w:rPr>
          <w:rFonts w:ascii="Calibri" w:cs="Calibri" w:eastAsia="Calibri" w:hAnsi="Calibri"/>
          <w:b w:val="false"/>
          <w:bCs w:val="false"/>
          <w:i w:val="false"/>
          <w:iCs w:val="false"/>
          <w:color w:val="2B2338"/>
          <w:sz w:val="21"/>
          <w:szCs w:val="21"/>
        </w:rPr>
        <w:t xml:space="preserve">Programmes</w:t>
      </w:r>
    </w:p>
    <w:p>
      <w:pPr>
        <w:spacing w:after="140" w:before="0" w:line="276"/>
      </w:pPr>
      <w:r>
        <w:rPr>
          <w:rFonts w:ascii="Calibri" w:cs="Calibri" w:eastAsia="Calibri" w:hAnsi="Calibri"/>
          <w:b/>
          <w:bCs/>
          <w:i w:val="false"/>
          <w:iCs w:val="false"/>
          <w:color w:val="6E4FA3"/>
          <w:sz w:val="21"/>
          <w:szCs w:val="21"/>
        </w:rPr>
        <w:t xml:space="preserve">RU: </w:t>
      </w:r>
      <w:r>
        <w:rPr>
          <w:rFonts w:ascii="Calibri" w:cs="Calibri" w:eastAsia="Calibri" w:hAnsi="Calibri"/>
          <w:b w:val="false"/>
          <w:bCs w:val="false"/>
          <w:i w:val="false"/>
          <w:iCs w:val="false"/>
          <w:color w:val="2B2338"/>
          <w:sz w:val="21"/>
          <w:szCs w:val="21"/>
        </w:rPr>
        <w:t xml:space="preserve">ПРОГРАММЫ</w:t>
      </w:r>
    </w:p>
    <w:p>
      <w:pPr>
        <w:pStyle w:val="Heading1"/>
        <w:spacing w:after="140" w:before="360"/>
      </w:pPr>
      <w:r>
        <w:rPr>
          <w:rFonts w:ascii="Calibri" w:cs="Calibri" w:eastAsia="Calibri" w:hAnsi="Calibri"/>
          <w:b/>
          <w:bCs/>
          <w:i w:val="false"/>
          <w:iCs w:val="false"/>
          <w:color w:val="3E2C55"/>
          <w:sz w:val="30"/>
          <w:szCs w:val="30"/>
        </w:rPr>
        <w:t xml:space="preserve">Appendix D: open points and assets</w:t>
      </w:r>
    </w:p>
    <w:p>
      <w:pPr>
        <w:pStyle w:val="Heading3"/>
        <w:spacing w:after="140" w:before="240"/>
      </w:pPr>
      <w:r>
        <w:rPr>
          <w:rFonts w:ascii="Calibri" w:cs="Calibri" w:eastAsia="Calibri" w:hAnsi="Calibri"/>
          <w:b/>
          <w:bCs/>
          <w:i w:val="false"/>
          <w:iCs w:val="false"/>
          <w:color w:val="6E4FA3"/>
          <w:sz w:val="22"/>
          <w:szCs w:val="22"/>
        </w:rPr>
        <w:t xml:space="preserve">D.1 To confirm with the client</w:t>
      </w:r>
    </w:p>
    <w:tbl>
      <w:tblPr>
        <w:tblW w:type="dxa" w:w="9360"/>
        <w:tblBorders>
          <w:top w:val="single" w:sz="4"/>
          <w:left w:val="single" w:sz="4"/>
          <w:bottom w:val="single" w:sz="4"/>
          <w:right w:val="single" w:sz="4"/>
          <w:insideH w:val="single" w:sz="4"/>
          <w:insideV w:val="single" w:sz="4"/>
        </w:tblBorders>
      </w:tblPr>
      <w:tblGrid>
        <w:gridCol w:w="3000"/>
        <w:gridCol w:w="6360"/>
      </w:tblGrid>
      <w:tr>
        <w:trPr>
          <w:tblHeader/>
        </w:trPr>
        <w:tc>
          <w:tcPr>
            <w:tcW w:type="dxa" w:w="30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Item</w:t>
            </w:r>
          </w:p>
        </w:tc>
        <w:tc>
          <w:tcPr>
            <w:tcW w:type="dxa" w:w="63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Detail</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Hosting</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Confirm the Squarespace purchase was the domain only. A Squarespace website plan cannot host this site. The content portal additionally requires a host that rebuilds on commit.</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Partner logos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SVG or transparent PNG. The files supplied are .ai and .psd, which are not web formats. Longest-running blocker on the project.</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Workshop details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Exact dates, venue, programme, number of participating partners.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Inclusions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The included and not-included split needs fact-checking. TTM entry is now explicitly optional, so the wording must not imply it was ever bundled.</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PDF languages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Russian only, or Russian and English?</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Tour dates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Cinnamon, Oman and Kenya.</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Oman and Kenya content</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Itinerary, lodge roster, imagery and partner permissions.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Oman ministry</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Whether the representation may be published as a case, and whether the ministry logo may be used.</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Production email</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Pending the hosting decision.</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Years in market</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The Cases stat rail reads in market since 2014. Confirm the basis.</w:t>
            </w:r>
          </w:p>
        </w:tc>
      </w:tr>
    </w:tbl>
    <w:p>
      <w:pPr>
        <w:pStyle w:val="Heading3"/>
        <w:spacing w:after="140" w:before="240"/>
      </w:pPr>
      <w:r>
        <w:rPr>
          <w:rFonts w:ascii="Calibri" w:cs="Calibri" w:eastAsia="Calibri" w:hAnsi="Calibri"/>
          <w:b/>
          <w:bCs/>
          <w:i w:val="false"/>
          <w:iCs w:val="false"/>
          <w:color w:val="6E4FA3"/>
          <w:sz w:val="22"/>
          <w:szCs w:val="22"/>
        </w:rPr>
        <w:t xml:space="preserve">D.2 Assets</w:t>
      </w:r>
    </w:p>
    <w:tbl>
      <w:tblPr>
        <w:tblW w:type="dxa" w:w="9360"/>
        <w:tblBorders>
          <w:top w:val="single" w:sz="4"/>
          <w:left w:val="single" w:sz="4"/>
          <w:bottom w:val="single" w:sz="4"/>
          <w:right w:val="single" w:sz="4"/>
          <w:insideH w:val="single" w:sz="4"/>
          <w:insideV w:val="single" w:sz="4"/>
        </w:tblBorders>
      </w:tblPr>
      <w:tblGrid>
        <w:gridCol w:w="3000"/>
        <w:gridCol w:w="6360"/>
      </w:tblGrid>
      <w:tr>
        <w:trPr>
          <w:tblHeader/>
        </w:trPr>
        <w:tc>
          <w:tcPr>
            <w:tcW w:type="dxa" w:w="30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Asset</w:t>
            </w:r>
          </w:p>
        </w:tc>
        <w:tc>
          <w:tcPr>
            <w:tcW w:type="dxa" w:w="63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Status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We Present logo (SVG)</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Received and installed as vector.</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Homepage photograph</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Received and colour-graded.</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COATI presentations (3)</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Received. Source material for cases.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Tour 2 dates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Received round 5. 28 August to 5 September 2026.</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Office phone and addresses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Received round 5.</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Partner logos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Outstanding. Not supplied in a web format.</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Programme PDFs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Outstanding. Client producing.</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Workshop dates, venue, programme</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Outstanding. Client planning.</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Oman and Kenya imagery and rosters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Outstanding.</w:t>
            </w:r>
          </w:p>
        </w:tc>
      </w:tr>
    </w:tbl>
    <w:p>
      <w:pPr>
        <w:pStyle w:val="Heading3"/>
        <w:spacing w:after="140" w:before="240"/>
      </w:pPr>
      <w:r>
        <w:rPr>
          <w:rFonts w:ascii="Calibri" w:cs="Calibri" w:eastAsia="Calibri" w:hAnsi="Calibri"/>
          <w:b/>
          <w:bCs/>
          <w:i w:val="false"/>
          <w:iCs w:val="false"/>
          <w:color w:val="6E4FA3"/>
          <w:sz w:val="22"/>
          <w:szCs w:val="22"/>
        </w:rPr>
        <w:t xml:space="preserve">D.3 Closed, not to be reopened</w:t>
      </w:r>
    </w:p>
    <w:tbl>
      <w:tblPr>
        <w:tblW w:type="dxa" w:w="9360"/>
        <w:tblBorders>
          <w:top w:val="single" w:sz="4"/>
          <w:left w:val="single" w:sz="4"/>
          <w:bottom w:val="single" w:sz="4"/>
          <w:right w:val="single" w:sz="4"/>
          <w:insideH w:val="single" w:sz="4"/>
          <w:insideV w:val="single" w:sz="4"/>
        </w:tblBorders>
      </w:tblPr>
      <w:tblGrid>
        <w:gridCol w:w="3000"/>
        <w:gridCol w:w="6360"/>
      </w:tblGrid>
      <w:tr>
        <w:trPr>
          <w:tblHeader/>
        </w:trPr>
        <w:tc>
          <w:tcPr>
            <w:tcW w:type="dxa" w:w="300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Item</w:t>
            </w:r>
          </w:p>
        </w:tc>
        <w:tc>
          <w:tcPr>
            <w:tcW w:type="dxa" w:w="6360"/>
            <w:shd w:fill="F3ECFB" w:color="auto" w:val="clear"/>
            <w:tcMar>
              <w:top w:type="dxa" w:w="80"/>
              <w:left w:type="dxa" w:w="110"/>
              <w:bottom w:type="dxa" w:w="80"/>
              <w:right w:type="dxa" w:w="110"/>
            </w:tcMar>
          </w:tcPr>
          <w:p>
            <w:pPr>
              <w:spacing w:after="40" w:line="260"/>
            </w:pPr>
            <w:r>
              <w:rPr>
                <w:rFonts w:ascii="Calibri" w:cs="Calibri" w:eastAsia="Calibri" w:hAnsi="Calibri"/>
                <w:b/>
                <w:bCs/>
                <w:i w:val="false"/>
                <w:iCs w:val="false"/>
                <w:color w:val="3E2C55"/>
                <w:sz w:val="19"/>
                <w:szCs w:val="19"/>
              </w:rPr>
              <w:t xml:space="preserve">Resolution</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Registration management module</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Out of scope. Software system, not a website feature. Section 4.</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Zip handover</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Superseded by repository transfer. Section 7.</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Madifushi in Tour 2</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Settled by the confirmed date range. Section 2.1. Do not re-ask the client.</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Resort URL nesting</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i w:val="false"/>
                <w:iCs w:val="false"/>
                <w:color w:val="2B2338"/>
                <w:sz w:val="19"/>
                <w:szCs w:val="19"/>
              </w:rPr>
              <w:t xml:space="preserve">Declined in round 2. No visitor benefit, rewrites live URLs.</w:t>
            </w:r>
          </w:p>
        </w:tc>
      </w:tr>
    </w:tbl>
    <w:p>
      <w:pPr>
        <w:spacing w:after="120" w:before="240" w:line="276"/>
      </w:pPr>
      <w:r>
        <w:rPr>
          <w:rFonts w:ascii="Calibri" w:cs="Calibri" w:eastAsia="Calibri" w:hAnsi="Calibri"/>
          <w:b w:val="false"/>
          <w:bCs w:val="false"/>
          <w:i w:val="false"/>
          <w:iCs w:val="false"/>
          <w:color w:val="2B2338"/>
          <w:sz w:val="21"/>
          <w:szCs w:val="21"/>
        </w:rPr>
        <w:t xml:space="preserve">End of Specification v2.2.</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2026-08-04T18:42:02.087Z</dcterms:created>
  <dcterms:modified xsi:type="dcterms:W3CDTF">2026-08-04T18:42:02.087Z</dcterms:modified>
</cp:coreProperties>
</file>

<file path=docProps/custom.xml><?xml version="1.0" encoding="utf-8"?>
<Properties xmlns="http://schemas.openxmlformats.org/officeDocument/2006/custom-properties" xmlns:vt="http://schemas.openxmlformats.org/officeDocument/2006/docPropsVTypes"/>
</file>