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0"/>
        <w:jc w:val="center"/>
      </w:pPr>
      <w:r>
        <w:rPr>
          <w:rFonts w:ascii="Georgia" w:cs="Georgia" w:eastAsia="Georgia" w:hAnsi="Georgia"/>
          <w:b/>
          <w:bCs/>
          <w:color w:val="6E4FA3"/>
          <w:sz w:val="48"/>
          <w:szCs w:val="48"/>
        </w:rPr>
        <w:t xml:space="preserve">W E   P R E S E N T</w:t>
      </w:r>
    </w:p>
    <w:p>
      <w:pPr>
        <w:spacing w:after="240"/>
        <w:jc w:val="center"/>
      </w:pPr>
      <w:r>
        <w:rPr>
          <w:rFonts w:ascii="Calibri" w:cs="Calibri" w:eastAsia="Calibri" w:hAnsi="Calibri"/>
          <w:i/>
          <w:iCs/>
          <w:color w:val="8F6F1E"/>
          <w:sz w:val="22"/>
          <w:szCs w:val="22"/>
        </w:rPr>
        <w:t xml:space="preserve">by Coati Travel</w:t>
      </w:r>
    </w:p>
    <w:p>
      <w:pPr>
        <w:pBdr>
          <w:top w:val="single" w:color="C9A24B" w:sz="4"/>
          <w:bottom w:val="single" w:color="C9A24B" w:sz="4"/>
        </w:pBdr>
        <w:spacing w:after="60" w:before="60"/>
        <w:jc w:val="center"/>
      </w:pPr>
      <w:r>
        <w:rPr>
          <w:rFonts w:ascii="Georgia" w:cs="Georgia" w:eastAsia="Georgia" w:hAnsi="Georgia"/>
          <w:b/>
          <w:bCs/>
          <w:color w:val="3E2C55"/>
          <w:sz w:val="30"/>
          <w:szCs w:val="30"/>
        </w:rPr>
        <w:t xml:space="preserve">Website Technical Specification</w:t>
      </w:r>
    </w:p>
    <w:p>
      <w:pPr>
        <w:spacing w:after="20" w:before="120"/>
        <w:jc w:val="center"/>
      </w:pPr>
      <w:r>
        <w:rPr>
          <w:rFonts w:ascii="Calibri" w:cs="Calibri" w:eastAsia="Calibri" w:hAnsi="Calibri"/>
          <w:color w:val="2B2338"/>
          <w:sz w:val="20"/>
          <w:szCs w:val="20"/>
        </w:rPr>
        <w:t xml:space="preserve">2026 Season — Two Maldives Tours · TTM Maldives 2026 · Oman (December)</w:t>
      </w:r>
    </w:p>
    <w:p>
      <w:pPr>
        <w:spacing w:after="20"/>
        <w:jc w:val="center"/>
      </w:pPr>
      <w:r>
        <w:rPr>
          <w:rFonts w:ascii="Calibri" w:cs="Calibri" w:eastAsia="Calibri" w:hAnsi="Calibri"/>
          <w:b/>
          <w:bCs/>
          <w:color w:val="6E4FA3"/>
          <w:sz w:val="20"/>
          <w:szCs w:val="20"/>
        </w:rPr>
        <w:t xml:space="preserve">Version 1.7 (Draft for Review)  ·  July 2026</w:t>
      </w:r>
    </w:p>
    <w:p>
      <w:pPr>
        <w:spacing w:after="240"/>
        <w:jc w:val="center"/>
      </w:pPr>
      <w:r>
        <w:rPr>
          <w:rFonts w:ascii="Calibri" w:cs="Calibri" w:eastAsia="Calibri" w:hAnsi="Calibri"/>
          <w:color w:val="2B2338"/>
          <w:sz w:val="20"/>
          <w:szCs w:val="20"/>
        </w:rPr>
        <w:t xml:space="preserve">Prepared for: We Present by Coati Travel</w:t>
      </w:r>
    </w:p>
    <w:p>
      <w:pPr>
        <w:pStyle w:val="Heading1"/>
        <w:spacing w:after="140" w:before="300"/>
      </w:pPr>
      <w:r>
        <w:rPr>
          <w:rFonts w:ascii="Georgia" w:cs="Georgia" w:eastAsia="Georgia" w:hAnsi="Georgia"/>
          <w:b/>
          <w:bCs/>
          <w:color w:val="3E2C55"/>
          <w:sz w:val="30"/>
          <w:szCs w:val="30"/>
        </w:rPr>
        <w:t xml:space="preserve">Document Control</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2400"/>
        <w:gridCol w:w="6960"/>
      </w:tblGrid>
      <w:tr>
        <w:trPr>
          <w:tblHeader/>
        </w:trPr>
        <w:tc>
          <w:tcPr>
            <w:tcW w:type="dxa" w:w="24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Field</w:t>
            </w:r>
          </w:p>
        </w:tc>
        <w:tc>
          <w:tcPr>
            <w:tcW w:type="dxa" w:w="69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Detail</w:t>
            </w:r>
          </w:p>
        </w:tc>
      </w:tr>
      <w:tr>
        <w:trPr>
          <w:tblHeader w:val="false"/>
        </w:trPr>
        <w:tc>
          <w:tcPr>
            <w:tcW w:type="dxa" w:w="2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Document</w:t>
            </w:r>
          </w:p>
        </w:tc>
        <w:tc>
          <w:tcPr>
            <w:tcW w:type="dxa" w:w="69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We Present by Coati Travel — Website Technical Specification</w:t>
            </w:r>
          </w:p>
        </w:tc>
      </w:tr>
      <w:tr>
        <w:trPr>
          <w:tblHeader w:val="false"/>
        </w:trPr>
        <w:tc>
          <w:tcPr>
            <w:tcW w:type="dxa" w:w="2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Version</w:t>
            </w:r>
          </w:p>
        </w:tc>
        <w:tc>
          <w:tcPr>
            <w:tcW w:type="dxa" w:w="69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1.7 — Draft for review (supersedes v1.6)</w:t>
            </w:r>
          </w:p>
        </w:tc>
      </w:tr>
      <w:tr>
        <w:trPr>
          <w:tblHeader w:val="false"/>
        </w:trPr>
        <w:tc>
          <w:tcPr>
            <w:tcW w:type="dxa" w:w="2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Status</w:t>
            </w:r>
          </w:p>
        </w:tc>
        <w:tc>
          <w:tcPr>
            <w:tcW w:type="dxa" w:w="69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WePresent.org domain purchased; back-end content portal and multi-tour calendar added; palette revised to light pastel lilac with a warm-gold accent. Validation/setup tasks remain in Section 14.</w:t>
            </w:r>
          </w:p>
        </w:tc>
      </w:tr>
      <w:tr>
        <w:trPr>
          <w:tblHeader w:val="false"/>
        </w:trPr>
        <w:tc>
          <w:tcPr>
            <w:tcW w:type="dxa" w:w="2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Prepared for</w:t>
            </w:r>
          </w:p>
        </w:tc>
        <w:tc>
          <w:tcPr>
            <w:tcW w:type="dxa" w:w="69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Coati Travel (Russia / CIS market)</w:t>
            </w:r>
          </w:p>
        </w:tc>
      </w:tr>
      <w:tr>
        <w:trPr>
          <w:tblHeader w:val="false"/>
        </w:trPr>
        <w:tc>
          <w:tcPr>
            <w:tcW w:type="dxa" w:w="2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Target completion</w:t>
            </w:r>
          </w:p>
        </w:tc>
        <w:tc>
          <w:tcPr>
            <w:tcW w:type="dxa" w:w="69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Ahead of the first 2026 tour (17 August 2026); event season runs Aug–Dec 2026</w:t>
            </w:r>
          </w:p>
        </w:tc>
      </w:tr>
    </w:tbl>
    <w:p>
      <w:pPr>
        <w:spacing w:after="80"/>
      </w:pPr>
    </w:p>
    <w:p>
      <w:pPr>
        <w:pStyle w:val="Heading2"/>
        <w:spacing w:after="100" w:before="200"/>
      </w:pPr>
      <w:r>
        <w:rPr>
          <w:rFonts w:ascii="Georgia" w:cs="Georgia" w:eastAsia="Georgia" w:hAnsi="Georgia"/>
          <w:b/>
          <w:bCs/>
          <w:color w:val="6E4FA3"/>
          <w:sz w:val="24"/>
          <w:szCs w:val="24"/>
        </w:rPr>
        <w:t xml:space="preserve">Key changes since v1.6</w:t>
      </w:r>
    </w:p>
    <w:p>
      <w:pPr>
        <w:pStyle w:val="ListParagraph"/>
        <w:numPr>
          <w:ilvl w:val="0"/>
          <w:numId w:val="2"/>
        </w:numPr>
        <w:spacing w:after="90" w:line="264"/>
      </w:pPr>
      <w:r>
        <w:rPr>
          <w:rFonts w:ascii="Calibri" w:cs="Calibri" w:eastAsia="Calibri" w:hAnsi="Calibri"/>
          <w:color w:val="2B2338"/>
          <w:sz w:val="21"/>
          <w:szCs w:val="21"/>
        </w:rPr>
        <w:t xml:space="preserve">Domain purchased: WePresent.org is now registered and owned — no longer a pending task. Remaining domain work is DNS + professional email setup only (Sections 10.5, 14).</w:t>
      </w:r>
    </w:p>
    <w:p>
      <w:pPr>
        <w:pStyle w:val="ListParagraph"/>
        <w:numPr>
          <w:ilvl w:val="0"/>
          <w:numId w:val="2"/>
        </w:numPr>
        <w:spacing w:after="90" w:line="264"/>
      </w:pPr>
      <w:r>
        <w:rPr>
          <w:rFonts w:ascii="Calibri" w:cs="Calibri" w:eastAsia="Calibri" w:hAnsi="Calibri"/>
          <w:color w:val="2B2338"/>
          <w:sz w:val="21"/>
          <w:szCs w:val="21"/>
        </w:rPr>
        <w:t xml:space="preserve">New back-end content portal: a client-managed, Git-based CMS (Decap/Tina) lets the Coati team log in and edit tour dates, itineraries and event details themselves, without developer involvement (new Section 9.2; architecture Section 5).</w:t>
      </w:r>
    </w:p>
    <w:p>
      <w:pPr>
        <w:pStyle w:val="ListParagraph"/>
        <w:numPr>
          <w:ilvl w:val="0"/>
          <w:numId w:val="2"/>
        </w:numPr>
        <w:spacing w:after="90" w:line="264"/>
      </w:pPr>
      <w:r>
        <w:rPr>
          <w:rFonts w:ascii="Calibri" w:cs="Calibri" w:eastAsia="Calibri" w:hAnsi="Calibri"/>
          <w:color w:val="2B2338"/>
          <w:sz w:val="21"/>
          <w:szCs w:val="21"/>
        </w:rPr>
        <w:t xml:space="preserve">Palette revised: a light, airy pastel scheme — warm ivory/white with soft lilac and a warm metallic-gold accent (matching the printed collateral and the updated logo). The previous dark jewel-tone direction is retired (Section 4).</w:t>
      </w:r>
    </w:p>
    <w:p>
      <w:pPr>
        <w:pStyle w:val="ListParagraph"/>
        <w:numPr>
          <w:ilvl w:val="0"/>
          <w:numId w:val="2"/>
        </w:numPr>
        <w:spacing w:after="90" w:line="264"/>
      </w:pPr>
      <w:r>
        <w:rPr>
          <w:rFonts w:ascii="Calibri" w:cs="Calibri" w:eastAsia="Calibri" w:hAnsi="Calibri"/>
          <w:color w:val="2B2338"/>
          <w:sz w:val="21"/>
          <w:szCs w:val="21"/>
        </w:rPr>
        <w:t xml:space="preserve">Tours Calendar / Timeline: the site now presents all upcoming trips on a calendar, replacing the single-tour framing (Sections 3, 6).</w:t>
      </w:r>
    </w:p>
    <w:p>
      <w:pPr>
        <w:pStyle w:val="ListParagraph"/>
        <w:numPr>
          <w:ilvl w:val="0"/>
          <w:numId w:val="2"/>
        </w:numPr>
        <w:spacing w:after="90" w:line="264"/>
      </w:pPr>
      <w:r>
        <w:rPr>
          <w:rFonts w:ascii="Calibri" w:cs="Calibri" w:eastAsia="Calibri" w:hAnsi="Calibri"/>
          <w:color w:val="2B2338"/>
          <w:sz w:val="21"/>
          <w:szCs w:val="21"/>
        </w:rPr>
        <w:t xml:space="preserve">Second Maldives tour added: a 17–23 August 2026 tour runs alongside the existing late-August tour (Section 3).</w:t>
      </w:r>
    </w:p>
    <w:p>
      <w:pPr>
        <w:pStyle w:val="ListParagraph"/>
        <w:numPr>
          <w:ilvl w:val="0"/>
          <w:numId w:val="2"/>
        </w:numPr>
        <w:spacing w:after="90" w:line="264"/>
      </w:pPr>
      <w:r>
        <w:rPr>
          <w:rFonts w:ascii="Calibri" w:cs="Calibri" w:eastAsia="Calibri" w:hAnsi="Calibri"/>
          <w:color w:val="2B2338"/>
          <w:sz w:val="21"/>
          <w:szCs w:val="21"/>
        </w:rPr>
        <w:t xml:space="preserve">Contact form retained and expanded for general and private-trip inquiries (Sections 6.10, 8.5).</w:t>
      </w:r>
    </w:p>
    <w:p>
      <w:pPr>
        <w:pStyle w:val="ListParagraph"/>
        <w:numPr>
          <w:ilvl w:val="0"/>
          <w:numId w:val="2"/>
        </w:numPr>
        <w:spacing w:after="90" w:line="264"/>
      </w:pPr>
      <w:r>
        <w:rPr>
          <w:rFonts w:ascii="Calibri" w:cs="Calibri" w:eastAsia="Calibri" w:hAnsi="Calibri"/>
          <w:color w:val="2B2338"/>
          <w:sz w:val="21"/>
          <w:szCs w:val="21"/>
        </w:rPr>
        <w:t xml:space="preserve">New "How It Was" section for photos, trip reports and reviews from past tours (Section 6.9).</w:t>
      </w:r>
    </w:p>
    <w:p>
      <w:pPr>
        <w:pStyle w:val="Heading1"/>
        <w:spacing w:after="140" w:before="300"/>
      </w:pPr>
      <w:r>
        <w:rPr>
          <w:rFonts w:ascii="Georgia" w:cs="Georgia" w:eastAsia="Georgia" w:hAnsi="Georgia"/>
          <w:b/>
          <w:bCs/>
          <w:color w:val="3E2C55"/>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300"/>
      </w:pPr>
      <w:r>
        <w:rPr>
          <w:rFonts w:ascii="Georgia" w:cs="Georgia" w:eastAsia="Georgia" w:hAnsi="Georgia"/>
          <w:b/>
          <w:bCs/>
          <w:color w:val="3E2C55"/>
          <w:sz w:val="30"/>
          <w:szCs w:val="30"/>
        </w:rPr>
        <w:t xml:space="preserve">1. Project Overview &amp; Objectives</w:t>
      </w:r>
    </w:p>
    <w:p>
      <w:pPr>
        <w:spacing w:after="140" w:line="276"/>
      </w:pPr>
      <w:r>
        <w:rPr>
          <w:rFonts w:ascii="Calibri" w:cs="Calibri" w:eastAsia="Calibri" w:hAnsi="Calibri"/>
          <w:color w:val="2B2338"/>
          <w:sz w:val="21"/>
          <w:szCs w:val="21"/>
        </w:rPr>
        <w:t xml:space="preserve">"We Present" is a B2B initiative by Coati Travel, an agency specializing in the Russia and CIS outbound market. The programme organizes curated familiarization trips that bring selected travel-agency representatives to a destination to experience its resorts first-hand and, where relevant, attend the destination’s leading travel-trade event. Selection is merit-based, driven by agency production (room nights).</w:t>
      </w:r>
    </w:p>
    <w:p>
      <w:pPr>
        <w:spacing w:after="140" w:line="276"/>
      </w:pPr>
      <w:r>
        <w:rPr>
          <w:rFonts w:ascii="Calibri" w:cs="Calibri" w:eastAsia="Calibri" w:hAnsi="Calibri"/>
          <w:color w:val="2B2338"/>
          <w:sz w:val="21"/>
          <w:szCs w:val="21"/>
        </w:rPr>
        <w:t xml:space="preserve">Rather than a single event, We Present runs an ongoing series of tours. The 2026 launch season includes two Maldives tours in August — one of which combines with Travel Trade Maldives (TTM) 2026 — followed by an Oman tour in December, with further destinations planned for 2027. The website therefore presents an evolving calendar of trips, not one fixed itinerary.</w:t>
      </w:r>
    </w:p>
    <w:p>
      <w:pPr>
        <w:spacing w:after="140" w:line="276"/>
      </w:pPr>
      <w:r>
        <w:rPr>
          <w:rFonts w:ascii="Calibri" w:cs="Calibri" w:eastAsia="Calibri" w:hAnsi="Calibri"/>
          <w:color w:val="2B2338"/>
          <w:sz w:val="21"/>
          <w:szCs w:val="21"/>
        </w:rPr>
        <w:t xml:space="preserve">For each edition the participating group is already confirmed: the website is not a tool to recruit attendees for a given tour. Its role is to give the programme a polished, professional online presence — to showcase the concept, the tours, the resorts and the partners, to keep the calendar current, and to support inquiries and forward interest.</w:t>
      </w:r>
    </w:p>
    <w:p>
      <w:pPr>
        <w:pStyle w:val="Heading2"/>
        <w:spacing w:after="100" w:before="200"/>
      </w:pPr>
      <w:r>
        <w:rPr>
          <w:rFonts w:ascii="Georgia" w:cs="Georgia" w:eastAsia="Georgia" w:hAnsi="Georgia"/>
          <w:b/>
          <w:bCs/>
          <w:color w:val="6E4FA3"/>
          <w:sz w:val="24"/>
          <w:szCs w:val="24"/>
        </w:rPr>
        <w:t xml:space="preserve">Primary objectives</w:t>
      </w:r>
    </w:p>
    <w:p>
      <w:pPr>
        <w:pStyle w:val="ListParagraph"/>
        <w:numPr>
          <w:ilvl w:val="0"/>
          <w:numId w:val="2"/>
        </w:numPr>
        <w:spacing w:after="90" w:line="264"/>
      </w:pPr>
      <w:r>
        <w:rPr>
          <w:rFonts w:ascii="Calibri" w:cs="Calibri" w:eastAsia="Calibri" w:hAnsi="Calibri"/>
          <w:color w:val="2B2338"/>
          <w:sz w:val="21"/>
          <w:szCs w:val="21"/>
        </w:rPr>
        <w:t xml:space="preserve">Present the "We Present" concept and its calendar of tours with a premium, editorial aesthetic on par with the reference luxury-hospitality brands.</w:t>
      </w:r>
    </w:p>
    <w:p>
      <w:pPr>
        <w:pStyle w:val="ListParagraph"/>
        <w:numPr>
          <w:ilvl w:val="0"/>
          <w:numId w:val="2"/>
        </w:numPr>
        <w:spacing w:after="90" w:line="264"/>
      </w:pPr>
      <w:r>
        <w:rPr>
          <w:rFonts w:ascii="Calibri" w:cs="Calibri" w:eastAsia="Calibri" w:hAnsi="Calibri"/>
          <w:color w:val="2B2338"/>
          <w:sz w:val="21"/>
          <w:szCs w:val="21"/>
        </w:rPr>
        <w:t xml:space="preserve">Show all upcoming trips on a clear Tours Calendar / Timeline so visitors can see what is coming and when.</w:t>
      </w:r>
    </w:p>
    <w:p>
      <w:pPr>
        <w:pStyle w:val="ListParagraph"/>
        <w:numPr>
          <w:ilvl w:val="0"/>
          <w:numId w:val="2"/>
        </w:numPr>
        <w:spacing w:after="90" w:line="264"/>
      </w:pPr>
      <w:r>
        <w:rPr>
          <w:rFonts w:ascii="Calibri" w:cs="Calibri" w:eastAsia="Calibri" w:hAnsi="Calibri"/>
          <w:color w:val="2B2338"/>
          <w:sz w:val="21"/>
          <w:szCs w:val="21"/>
        </w:rPr>
        <w:t xml:space="preserve">Give each partner resort a dedicated, beautifully presented page, and display partner and TTM branding clearly.</w:t>
      </w:r>
    </w:p>
    <w:p>
      <w:pPr>
        <w:pStyle w:val="ListParagraph"/>
        <w:numPr>
          <w:ilvl w:val="0"/>
          <w:numId w:val="2"/>
        </w:numPr>
        <w:spacing w:after="90" w:line="264"/>
      </w:pPr>
      <w:r>
        <w:rPr>
          <w:rFonts w:ascii="Calibri" w:cs="Calibri" w:eastAsia="Calibri" w:hAnsi="Calibri"/>
          <w:color w:val="2B2338"/>
          <w:sz w:val="21"/>
          <w:szCs w:val="21"/>
        </w:rPr>
        <w:t xml:space="preserve">Let agents and clients send inquiries directly from each hotel page (request rates / more information).</w:t>
      </w:r>
    </w:p>
    <w:p>
      <w:pPr>
        <w:pStyle w:val="ListParagraph"/>
        <w:numPr>
          <w:ilvl w:val="0"/>
          <w:numId w:val="2"/>
        </w:numPr>
        <w:spacing w:after="90" w:line="264"/>
      </w:pPr>
      <w:r>
        <w:rPr>
          <w:rFonts w:ascii="Calibri" w:cs="Calibri" w:eastAsia="Calibri" w:hAnsi="Calibri"/>
          <w:color w:val="2B2338"/>
          <w:sz w:val="21"/>
          <w:szCs w:val="21"/>
        </w:rPr>
        <w:t xml:space="preserve">Let hotels request partnership in future editions via a dedicated form.</w:t>
      </w:r>
    </w:p>
    <w:p>
      <w:pPr>
        <w:pStyle w:val="ListParagraph"/>
        <w:numPr>
          <w:ilvl w:val="0"/>
          <w:numId w:val="2"/>
        </w:numPr>
        <w:spacing w:after="90" w:line="264"/>
      </w:pPr>
      <w:r>
        <w:rPr>
          <w:rFonts w:ascii="Calibri" w:cs="Calibri" w:eastAsia="Calibri" w:hAnsi="Calibri"/>
          <w:color w:val="2B2338"/>
          <w:sz w:val="21"/>
          <w:szCs w:val="21"/>
        </w:rPr>
        <w:t xml:space="preserve">Keep a general contact / private-trip inquiry channel open for visitors who are not part of a scheduled tour.</w:t>
      </w:r>
    </w:p>
    <w:p>
      <w:pPr>
        <w:pStyle w:val="ListParagraph"/>
        <w:numPr>
          <w:ilvl w:val="0"/>
          <w:numId w:val="2"/>
        </w:numPr>
        <w:spacing w:after="90" w:line="264"/>
      </w:pPr>
      <w:r>
        <w:rPr>
          <w:rFonts w:ascii="Calibri" w:cs="Calibri" w:eastAsia="Calibri" w:hAnsi="Calibri"/>
          <w:color w:val="2B2338"/>
          <w:sz w:val="21"/>
          <w:szCs w:val="21"/>
        </w:rPr>
        <w:t xml:space="preserve">Capture forward interest for future editions — the agent registration form is retained under a "We Present 2027" framing.</w:t>
      </w:r>
    </w:p>
    <w:p>
      <w:pPr>
        <w:pStyle w:val="ListParagraph"/>
        <w:numPr>
          <w:ilvl w:val="0"/>
          <w:numId w:val="2"/>
        </w:numPr>
        <w:spacing w:after="90" w:line="264"/>
      </w:pPr>
      <w:r>
        <w:rPr>
          <w:rFonts w:ascii="Calibri" w:cs="Calibri" w:eastAsia="Calibri" w:hAnsi="Calibri"/>
          <w:color w:val="2B2338"/>
          <w:sz w:val="21"/>
          <w:szCs w:val="21"/>
        </w:rPr>
        <w:t xml:space="preserve">Let the Coati team maintain tour dates and event details themselves through a simple back-end portal, with no developer dependency for routine updates.</w:t>
      </w:r>
    </w:p>
    <w:p>
      <w:pPr>
        <w:pStyle w:val="Heading1"/>
        <w:spacing w:after="140" w:before="300"/>
      </w:pPr>
      <w:r>
        <w:rPr>
          <w:rFonts w:ascii="Georgia" w:cs="Georgia" w:eastAsia="Georgia" w:hAnsi="Georgia"/>
          <w:b/>
          <w:bCs/>
          <w:color w:val="3E2C55"/>
          <w:sz w:val="30"/>
          <w:szCs w:val="30"/>
        </w:rPr>
        <w:t xml:space="preserve">2. Target Audience &amp; User Roles</w:t>
      </w:r>
    </w:p>
    <w:p>
      <w:pPr>
        <w:spacing w:after="140" w:line="276"/>
      </w:pPr>
      <w:r>
        <w:rPr>
          <w:rFonts w:ascii="Calibri" w:cs="Calibri" w:eastAsia="Calibri" w:hAnsi="Calibri"/>
          <w:color w:val="2B2338"/>
          <w:sz w:val="21"/>
          <w:szCs w:val="21"/>
        </w:rPr>
        <w:t xml:space="preserve">The site is fully bilingual (Russian + English), Russian being the primary market language — see Section 7.</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3200"/>
        <w:gridCol w:w="6160"/>
      </w:tblGrid>
      <w:tr>
        <w:trPr>
          <w:tblHeader/>
        </w:trPr>
        <w:tc>
          <w:tcPr>
            <w:tcW w:type="dxa" w:w="32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Role</w:t>
            </w:r>
          </w:p>
        </w:tc>
        <w:tc>
          <w:tcPr>
            <w:tcW w:type="dxa" w:w="61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Needs &amp; primary action</w:t>
            </w:r>
          </w:p>
        </w:tc>
      </w:tr>
      <w:tr>
        <w:trPr>
          <w:tblHeader w:val="false"/>
        </w:trPr>
        <w:tc>
          <w:tcPr>
            <w:tcW w:type="dxa" w:w="32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Travel agents / agency reps</w:t>
            </w:r>
          </w:p>
        </w:tc>
        <w:tc>
          <w:tcPr>
            <w:tcW w:type="dxa" w:w="61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Explore the programme, the tours calendar and the resorts; send inquiries from hotel pages; register interest for the next edition.</w:t>
            </w:r>
          </w:p>
        </w:tc>
      </w:tr>
      <w:tr>
        <w:trPr>
          <w:tblHeader w:val="false"/>
        </w:trPr>
        <w:tc>
          <w:tcPr>
            <w:tcW w:type="dxa" w:w="32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Clients / prospective guests</w:t>
            </w:r>
          </w:p>
        </w:tc>
        <w:tc>
          <w:tcPr>
            <w:tcW w:type="dxa" w:w="61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Browse tours and resorts and request rates/availability via the per-hotel inquiry form.</w:t>
            </w:r>
          </w:p>
        </w:tc>
      </w:tr>
      <w:tr>
        <w:trPr>
          <w:tblHeader w:val="false"/>
        </w:trPr>
        <w:tc>
          <w:tcPr>
            <w:tcW w:type="dxa" w:w="32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General visitors</w:t>
            </w:r>
          </w:p>
        </w:tc>
        <w:tc>
          <w:tcPr>
            <w:tcW w:type="dxa" w:w="61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Discover the project, browse the site, and get in touch or request a private trip via the contact form.</w:t>
            </w:r>
          </w:p>
        </w:tc>
      </w:tr>
      <w:tr>
        <w:trPr>
          <w:tblHeader w:val="false"/>
        </w:trPr>
        <w:tc>
          <w:tcPr>
            <w:tcW w:type="dxa" w:w="32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Hotels / resorts</w:t>
            </w:r>
          </w:p>
        </w:tc>
        <w:tc>
          <w:tcPr>
            <w:tcW w:type="dxa" w:w="61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Request partnership in current/future editions via the partnership form (with file upload).</w:t>
            </w:r>
          </w:p>
        </w:tc>
      </w:tr>
      <w:tr>
        <w:trPr>
          <w:tblHeader w:val="false"/>
        </w:trPr>
        <w:tc>
          <w:tcPr>
            <w:tcW w:type="dxa" w:w="32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Associated partners (incl. TTM)</w:t>
            </w:r>
          </w:p>
        </w:tc>
        <w:tc>
          <w:tcPr>
            <w:tcW w:type="dxa" w:w="61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Brand visibility — logos and short blurbs on the tour/itinerary pages.</w:t>
            </w:r>
          </w:p>
        </w:tc>
      </w:tr>
      <w:tr>
        <w:trPr>
          <w:tblHeader w:val="false"/>
        </w:trPr>
        <w:tc>
          <w:tcPr>
            <w:tcW w:type="dxa" w:w="32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Coati content editors (portal)</w:t>
            </w:r>
          </w:p>
        </w:tc>
        <w:tc>
          <w:tcPr>
            <w:tcW w:type="dxa" w:w="61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Log in to the back-end portal to update tour dates, itineraries and event details — see Section 9.2.</w:t>
            </w:r>
          </w:p>
        </w:tc>
      </w:tr>
      <w:tr>
        <w:trPr>
          <w:tblHeader w:val="false"/>
        </w:trPr>
        <w:tc>
          <w:tcPr>
            <w:tcW w:type="dxa" w:w="32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Coati internal team</w:t>
            </w:r>
          </w:p>
        </w:tc>
        <w:tc>
          <w:tcPr>
            <w:tcW w:type="dxa" w:w="61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Receive and act on all form submissions and uploaded files.</w:t>
            </w:r>
          </w:p>
        </w:tc>
      </w:tr>
    </w:tbl>
    <w:p>
      <w:pPr>
        <w:pStyle w:val="Heading1"/>
        <w:spacing w:after="140" w:before="300"/>
      </w:pPr>
      <w:r>
        <w:rPr>
          <w:rFonts w:ascii="Georgia" w:cs="Georgia" w:eastAsia="Georgia" w:hAnsi="Georgia"/>
          <w:b/>
          <w:bCs/>
          <w:color w:val="3E2C55"/>
          <w:sz w:val="30"/>
          <w:szCs w:val="30"/>
        </w:rPr>
        <w:t xml:space="preserve">3. Tours &amp; Itineraries — 2026 Season</w:t>
      </w:r>
    </w:p>
    <w:p>
      <w:pPr>
        <w:spacing w:after="140" w:line="276"/>
      </w:pPr>
      <w:r>
        <w:rPr>
          <w:rFonts w:ascii="Calibri" w:cs="Calibri" w:eastAsia="Calibri" w:hAnsi="Calibri"/>
          <w:color w:val="2B2338"/>
          <w:sz w:val="21"/>
          <w:szCs w:val="21"/>
        </w:rPr>
        <w:t xml:space="preserve">We Present runs multiple tours per year. The website presents them as a Tours Calendar / Timeline (Section 6.4); the dated itineraries below feed that calendar and each tour’s detail. Dates and details are editable by the Coati team through the back-end portal (Section 9.2).</w:t>
      </w:r>
    </w:p>
    <w:p>
      <w:pPr>
        <w:pStyle w:val="Heading2"/>
        <w:spacing w:after="100" w:before="200"/>
      </w:pPr>
      <w:r>
        <w:rPr>
          <w:rFonts w:ascii="Georgia" w:cs="Georgia" w:eastAsia="Georgia" w:hAnsi="Georgia"/>
          <w:b/>
          <w:bCs/>
          <w:color w:val="6E4FA3"/>
          <w:sz w:val="24"/>
          <w:szCs w:val="24"/>
        </w:rPr>
        <w:t xml:space="preserve">3.1 Tours calendar (overview)</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1500"/>
        <w:gridCol w:w="3300"/>
        <w:gridCol w:w="4560"/>
      </w:tblGrid>
      <w:tr>
        <w:trPr>
          <w:tblHeader/>
        </w:trPr>
        <w:tc>
          <w:tcPr>
            <w:tcW w:type="dxa" w:w="15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Year</w:t>
            </w:r>
          </w:p>
        </w:tc>
        <w:tc>
          <w:tcPr>
            <w:tcW w:type="dxa" w:w="33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Tour</w:t>
            </w:r>
          </w:p>
        </w:tc>
        <w:tc>
          <w:tcPr>
            <w:tcW w:type="dxa" w:w="45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Dates</w:t>
            </w:r>
          </w:p>
        </w:tc>
      </w:tr>
      <w:tr>
        <w:trPr>
          <w:tblHeader w:val="false"/>
        </w:trPr>
        <w:tc>
          <w:tcPr>
            <w:tcW w:type="dxa" w:w="15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2026</w:t>
            </w:r>
          </w:p>
        </w:tc>
        <w:tc>
          <w:tcPr>
            <w:tcW w:type="dxa" w:w="33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Maldives (Tour 1)</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17–23 August 2026</w:t>
            </w:r>
          </w:p>
        </w:tc>
      </w:tr>
      <w:tr>
        <w:trPr>
          <w:tblHeader w:val="false"/>
        </w:trPr>
        <w:tc>
          <w:tcPr>
            <w:tcW w:type="dxa" w:w="15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2026</w:t>
            </w:r>
          </w:p>
        </w:tc>
        <w:tc>
          <w:tcPr>
            <w:tcW w:type="dxa" w:w="33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Maldives + TTM (Tour 2)</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28 August – 3 September 2026</w:t>
            </w:r>
          </w:p>
        </w:tc>
      </w:tr>
      <w:tr>
        <w:trPr>
          <w:tblHeader w:val="false"/>
        </w:trPr>
        <w:tc>
          <w:tcPr>
            <w:tcW w:type="dxa" w:w="15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2026</w:t>
            </w:r>
          </w:p>
        </w:tc>
        <w:tc>
          <w:tcPr>
            <w:tcW w:type="dxa" w:w="33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Oman</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December 2026 — dates coming soon</w:t>
            </w:r>
          </w:p>
        </w:tc>
      </w:tr>
      <w:tr>
        <w:trPr>
          <w:tblHeader w:val="false"/>
        </w:trPr>
        <w:tc>
          <w:tcPr>
            <w:tcW w:type="dxa" w:w="15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2027</w:t>
            </w:r>
          </w:p>
        </w:tc>
        <w:tc>
          <w:tcPr>
            <w:tcW w:type="dxa" w:w="33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Coming soon</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To be announced</w:t>
            </w:r>
          </w:p>
        </w:tc>
      </w:tr>
    </w:tbl>
    <w:p>
      <w:pPr>
        <w:spacing w:after="80"/>
      </w:pPr>
    </w:p>
    <w:p>
      <w:pPr>
        <w:pStyle w:val="Heading2"/>
        <w:spacing w:after="100" w:before="200"/>
      </w:pPr>
      <w:r>
        <w:rPr>
          <w:rFonts w:ascii="Georgia" w:cs="Georgia" w:eastAsia="Georgia" w:hAnsi="Georgia"/>
          <w:b/>
          <w:bCs/>
          <w:color w:val="6E4FA3"/>
          <w:sz w:val="24"/>
          <w:szCs w:val="24"/>
        </w:rPr>
        <w:t xml:space="preserve">3.2 Tour 1 — Maldives · 17–23 August 2026</w:t>
      </w:r>
    </w:p>
    <w:p>
      <w:pPr>
        <w:spacing w:after="140" w:line="276"/>
      </w:pPr>
      <w:r>
        <w:rPr>
          <w:rFonts w:ascii="Calibri" w:cs="Calibri" w:eastAsia="Calibri" w:hAnsi="Calibri"/>
          <w:color w:val="2B2338"/>
          <w:sz w:val="21"/>
          <w:szCs w:val="21"/>
        </w:rPr>
        <w:t xml:space="preserve">A three-resort familiarization tour. Same concept as Tour 2, but without the Madifushi stop and without TTM attendance.</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3400"/>
        <w:gridCol w:w="2400"/>
        <w:gridCol w:w="3560"/>
      </w:tblGrid>
      <w:tr>
        <w:trPr>
          <w:tblHeader/>
        </w:trPr>
        <w:tc>
          <w:tcPr>
            <w:tcW w:type="dxa" w:w="34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Resort</w:t>
            </w:r>
          </w:p>
        </w:tc>
        <w:tc>
          <w:tcPr>
            <w:tcW w:type="dxa" w:w="24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Dates</w:t>
            </w:r>
          </w:p>
        </w:tc>
        <w:tc>
          <w:tcPr>
            <w:tcW w:type="dxa" w:w="35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Notes</w:t>
            </w:r>
          </w:p>
        </w:tc>
      </w:tr>
      <w:tr>
        <w:trPr>
          <w:tblHeader w:val="false"/>
        </w:trPr>
        <w:tc>
          <w:tcPr>
            <w:tcW w:type="dxa" w:w="3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SO/ Maldives</w:t>
            </w:r>
          </w:p>
        </w:tc>
        <w:tc>
          <w:tcPr>
            <w:tcW w:type="dxa" w:w="2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17–19 Aug (2 nights)</w:t>
            </w:r>
          </w:p>
        </w:tc>
        <w:tc>
          <w:tcPr>
            <w:tcW w:type="dxa" w:w="3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Resort stop 1.</w:t>
            </w:r>
          </w:p>
        </w:tc>
      </w:tr>
      <w:tr>
        <w:trPr>
          <w:tblHeader w:val="false"/>
        </w:trPr>
        <w:tc>
          <w:tcPr>
            <w:tcW w:type="dxa" w:w="3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Fushifaru Maldives</w:t>
            </w:r>
          </w:p>
        </w:tc>
        <w:tc>
          <w:tcPr>
            <w:tcW w:type="dxa" w:w="2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19–21 Aug (2 nights)</w:t>
            </w:r>
          </w:p>
        </w:tc>
        <w:tc>
          <w:tcPr>
            <w:tcW w:type="dxa" w:w="3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Resort stop 2.</w:t>
            </w:r>
          </w:p>
        </w:tc>
      </w:tr>
      <w:tr>
        <w:trPr>
          <w:tblHeader w:val="false"/>
        </w:trPr>
        <w:tc>
          <w:tcPr>
            <w:tcW w:type="dxa" w:w="3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Meyyafushi Maldives</w:t>
            </w:r>
          </w:p>
        </w:tc>
        <w:tc>
          <w:tcPr>
            <w:tcW w:type="dxa" w:w="2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21–23 Aug (2 nights)</w:t>
            </w:r>
          </w:p>
        </w:tc>
        <w:tc>
          <w:tcPr>
            <w:tcW w:type="dxa" w:w="3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Resort stop 3; departure 23 Aug.</w:t>
            </w:r>
          </w:p>
        </w:tc>
      </w:tr>
    </w:tbl>
    <w:p>
      <w:pPr>
        <w:spacing w:after="80"/>
      </w:pPr>
    </w:p>
    <w:p>
      <w:pPr>
        <w:pStyle w:val="Heading2"/>
        <w:spacing w:after="100" w:before="200"/>
      </w:pPr>
      <w:r>
        <w:rPr>
          <w:rFonts w:ascii="Georgia" w:cs="Georgia" w:eastAsia="Georgia" w:hAnsi="Georgia"/>
          <w:b/>
          <w:bCs/>
          <w:color w:val="6E4FA3"/>
          <w:sz w:val="24"/>
          <w:szCs w:val="24"/>
        </w:rPr>
        <w:t xml:space="preserve">3.3 Tour 2 — Maldives + TTM · 28 August – 3 September 2026</w:t>
      </w:r>
    </w:p>
    <w:p>
      <w:pPr>
        <w:spacing w:after="140" w:line="276"/>
      </w:pPr>
      <w:r>
        <w:rPr>
          <w:rFonts w:ascii="Calibri" w:cs="Calibri" w:eastAsia="Calibri" w:hAnsi="Calibri"/>
          <w:color w:val="2B2338"/>
          <w:sz w:val="21"/>
          <w:szCs w:val="21"/>
        </w:rPr>
        <w:t xml:space="preserve">The original inaugural tour, combining attendance at Travel Trade Maldives (TTM) 2026 with a partner-resort tour. End date revised to 3 September per the client’s calendar (previously 5 September).</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3400"/>
        <w:gridCol w:w="2400"/>
        <w:gridCol w:w="3560"/>
      </w:tblGrid>
      <w:tr>
        <w:trPr>
          <w:tblHeader/>
        </w:trPr>
        <w:tc>
          <w:tcPr>
            <w:tcW w:type="dxa" w:w="34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Stop</w:t>
            </w:r>
          </w:p>
        </w:tc>
        <w:tc>
          <w:tcPr>
            <w:tcW w:type="dxa" w:w="24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Dates</w:t>
            </w:r>
          </w:p>
        </w:tc>
        <w:tc>
          <w:tcPr>
            <w:tcW w:type="dxa" w:w="35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Notes</w:t>
            </w:r>
          </w:p>
        </w:tc>
      </w:tr>
      <w:tr>
        <w:trPr>
          <w:tblHeader w:val="false"/>
        </w:trPr>
        <w:tc>
          <w:tcPr>
            <w:tcW w:type="dxa" w:w="3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TTM Maldives</w:t>
            </w:r>
          </w:p>
        </w:tc>
        <w:tc>
          <w:tcPr>
            <w:tcW w:type="dxa" w:w="2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26–27 Aug</w:t>
            </w:r>
          </w:p>
        </w:tc>
        <w:tc>
          <w:tcPr>
            <w:tcW w:type="dxa" w:w="3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Travel Trade Maldives 2026 (10th edition); Awards &amp; Gala Night 27 Aug.</w:t>
            </w:r>
          </w:p>
        </w:tc>
      </w:tr>
      <w:tr>
        <w:trPr>
          <w:tblHeader w:val="false"/>
        </w:trPr>
        <w:tc>
          <w:tcPr>
            <w:tcW w:type="dxa" w:w="3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Fushifaru Maldives</w:t>
            </w:r>
          </w:p>
        </w:tc>
        <w:tc>
          <w:tcPr>
            <w:tcW w:type="dxa" w:w="2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28–30 Aug (2 nights)</w:t>
            </w:r>
          </w:p>
        </w:tc>
        <w:tc>
          <w:tcPr>
            <w:tcW w:type="dxa" w:w="3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Resort stop 1.</w:t>
            </w:r>
          </w:p>
        </w:tc>
      </w:tr>
      <w:tr>
        <w:trPr>
          <w:tblHeader w:val="false"/>
        </w:trPr>
        <w:tc>
          <w:tcPr>
            <w:tcW w:type="dxa" w:w="3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Meyyafushi Maldives</w:t>
            </w:r>
          </w:p>
        </w:tc>
        <w:tc>
          <w:tcPr>
            <w:tcW w:type="dxa" w:w="2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30 Aug–1 Sep (2 nights)</w:t>
            </w:r>
          </w:p>
        </w:tc>
        <w:tc>
          <w:tcPr>
            <w:tcW w:type="dxa" w:w="3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Resort stop 2.</w:t>
            </w:r>
          </w:p>
        </w:tc>
      </w:tr>
      <w:tr>
        <w:trPr>
          <w:tblHeader w:val="false"/>
        </w:trPr>
        <w:tc>
          <w:tcPr>
            <w:tcW w:type="dxa" w:w="3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SO/ Maldives</w:t>
            </w:r>
          </w:p>
        </w:tc>
        <w:tc>
          <w:tcPr>
            <w:tcW w:type="dxa" w:w="2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1–3 Sep (2 nights)</w:t>
            </w:r>
          </w:p>
        </w:tc>
        <w:tc>
          <w:tcPr>
            <w:tcW w:type="dxa" w:w="3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Resort stop 3; departure 3 Sep.</w:t>
            </w:r>
          </w:p>
        </w:tc>
      </w:tr>
      <w:tr>
        <w:trPr>
          <w:tblHeader w:val="false"/>
        </w:trPr>
        <w:tc>
          <w:tcPr>
            <w:tcW w:type="dxa" w:w="3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Madifushi Private Island Maldives</w:t>
            </w:r>
          </w:p>
        </w:tc>
        <w:tc>
          <w:tcPr>
            <w:tcW w:type="dxa" w:w="2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To confirm</w:t>
            </w:r>
          </w:p>
        </w:tc>
        <w:tc>
          <w:tcPr>
            <w:tcW w:type="dxa" w:w="3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Was resort stop 4 (3–5 Sep) in v1.6; inclusion within the shorter window to be confirmed.</w:t>
            </w:r>
          </w:p>
        </w:tc>
      </w:tr>
    </w:tbl>
    <w:p>
      <w:pPr>
        <w:spacing w:after="80"/>
      </w:pPr>
    </w:p>
    <w:tbl>
      <w:tblPr>
        <w:tblW w:type="dxa" w:w="9360"/>
        <w:tblBorders>
          <w:top w:val="single" w:color="C9A24B" w:sz="2"/>
          <w:left w:val="single" w:color="C9A24B" w:sz="2"/>
          <w:bottom w:val="single" w:color="C9A24B" w:sz="2"/>
          <w:right w:val="single" w:color="C9A24B" w:sz="2"/>
          <w:insideH w:val="single" w:color="C9A24B" w:sz="2"/>
          <w:insideV w:val="single" w:color="C9A24B" w:sz="2"/>
        </w:tblBorders>
      </w:tblPr>
      <w:tblGrid>
        <w:gridCol w:w="9360"/>
      </w:tblGrid>
      <w:tr>
        <w:tc>
          <w:tcPr>
            <w:tcW w:type="dxa" w:w="9360"/>
            <w:shd w:fill="EBDCB4" w:color="auto" w:val="clear"/>
            <w:tcMar>
              <w:top w:type="dxa" w:w="100"/>
              <w:left w:type="dxa" w:w="160"/>
              <w:bottom w:type="dxa" w:w="100"/>
              <w:right w:type="dxa" w:w="160"/>
            </w:tcMar>
          </w:tcPr>
          <w:p>
            <w:pPr>
              <w:spacing w:after="60" w:line="264"/>
            </w:pPr>
            <w:r>
              <w:rPr>
                <w:rFonts w:ascii="Calibri" w:cs="Calibri" w:eastAsia="Calibri" w:hAnsi="Calibri"/>
                <w:b/>
                <w:bCs/>
                <w:color w:val="3E2C55"/>
                <w:sz w:val="20"/>
                <w:szCs w:val="20"/>
              </w:rPr>
              <w:t xml:space="preserve">To confirm with client: </w:t>
            </w:r>
            <w:r>
              <w:rPr>
                <w:rFonts w:ascii="Calibri" w:cs="Calibri" w:eastAsia="Calibri" w:hAnsi="Calibri"/>
                <w:color w:val="2B2338"/>
                <w:sz w:val="20"/>
                <w:szCs w:val="20"/>
              </w:rPr>
              <w:t xml:space="preserve">Tour 2 now ends 3 September. Please confirm the exact per-resort nights and whether the Madifushi Private Island stop remains within the shorter window (or moves to a future tour). The itinerary above reflects a 3-resort / 3 Sep departure with Madifushi pending.</w:t>
            </w:r>
          </w:p>
        </w:tc>
      </w:tr>
    </w:tbl>
    <w:p>
      <w:pPr>
        <w:spacing w:after="80"/>
      </w:pPr>
    </w:p>
    <w:p>
      <w:pPr>
        <w:pStyle w:val="Heading2"/>
        <w:spacing w:after="100" w:before="200"/>
      </w:pPr>
      <w:r>
        <w:rPr>
          <w:rFonts w:ascii="Georgia" w:cs="Georgia" w:eastAsia="Georgia" w:hAnsi="Georgia"/>
          <w:b/>
          <w:bCs/>
          <w:color w:val="6E4FA3"/>
          <w:sz w:val="24"/>
          <w:szCs w:val="24"/>
        </w:rPr>
        <w:t xml:space="preserve">3.4 Tour 3 — Oman · December 2026</w:t>
      </w:r>
    </w:p>
    <w:p>
      <w:pPr>
        <w:spacing w:after="140" w:line="276"/>
      </w:pPr>
      <w:r>
        <w:rPr>
          <w:rFonts w:ascii="Calibri" w:cs="Calibri" w:eastAsia="Calibri" w:hAnsi="Calibri"/>
          <w:color w:val="2B2338"/>
          <w:sz w:val="21"/>
          <w:szCs w:val="21"/>
        </w:rPr>
        <w:t xml:space="preserve">An Oman familiarization tour in December 2026. Exact dates and resort line-up are not yet set; the tour appears on the calendar as "December — dates coming soon" and can be completed by the Coati team via the portal once confirmed.</w:t>
      </w:r>
    </w:p>
    <w:p>
      <w:pPr>
        <w:pStyle w:val="Heading2"/>
        <w:spacing w:after="100" w:before="200"/>
      </w:pPr>
      <w:r>
        <w:rPr>
          <w:rFonts w:ascii="Georgia" w:cs="Georgia" w:eastAsia="Georgia" w:hAnsi="Georgia"/>
          <w:b/>
          <w:bCs/>
          <w:color w:val="6E4FA3"/>
          <w:sz w:val="24"/>
          <w:szCs w:val="24"/>
        </w:rPr>
        <w:t xml:space="preserve">3.5 Scope</w:t>
      </w:r>
    </w:p>
    <w:p>
      <w:pPr>
        <w:spacing w:after="140" w:line="276"/>
      </w:pPr>
      <w:r>
        <w:rPr>
          <w:rFonts w:ascii="Calibri" w:cs="Calibri" w:eastAsia="Calibri" w:hAnsi="Calibri"/>
          <w:color w:val="2B2338"/>
          <w:sz w:val="21"/>
          <w:szCs w:val="21"/>
        </w:rPr>
        <w:t xml:space="preserve">In scope for v1: bilingual marketing site; a Tours Calendar / Timeline; a dedicated page/section per resort; per-hotel inquiry forms; a hotel partnership form; the retained agent-registration (interest) form; a general contact / private-trip form; a "How It Was" section; partner + TTM logo/blurb display; media galleries; a back-end content portal for tour dates and event details; hosting/domain/email setup.</w:t>
      </w:r>
    </w:p>
    <w:p>
      <w:pPr>
        <w:spacing w:after="140" w:line="276"/>
      </w:pPr>
      <w:r>
        <w:rPr>
          <w:rFonts w:ascii="Calibri" w:cs="Calibri" w:eastAsia="Calibri" w:hAnsi="Calibri"/>
          <w:color w:val="2B2338"/>
          <w:sz w:val="21"/>
          <w:szCs w:val="21"/>
        </w:rPr>
        <w:t xml:space="preserve">Out of scope for v1: applicant scoring/automation, CRM integration, and booking/payment management.</w:t>
      </w:r>
    </w:p>
    <w:p>
      <w:pPr>
        <w:pStyle w:val="Heading1"/>
        <w:spacing w:after="140" w:before="300"/>
      </w:pPr>
      <w:r>
        <w:rPr>
          <w:rFonts w:ascii="Georgia" w:cs="Georgia" w:eastAsia="Georgia" w:hAnsi="Georgia"/>
          <w:b/>
          <w:bCs/>
          <w:color w:val="3E2C55"/>
          <w:sz w:val="30"/>
          <w:szCs w:val="30"/>
        </w:rPr>
        <w:t xml:space="preserve">4. Design &amp; Visual Identity</w:t>
      </w:r>
    </w:p>
    <w:p>
      <w:pPr>
        <w:spacing w:after="140" w:line="276"/>
      </w:pPr>
      <w:r>
        <w:rPr>
          <w:rFonts w:ascii="Calibri" w:cs="Calibri" w:eastAsia="Calibri" w:hAnsi="Calibri"/>
          <w:color w:val="2B2338"/>
          <w:sz w:val="21"/>
          <w:szCs w:val="21"/>
        </w:rPr>
        <w:t xml:space="preserve">The site adopts a light, airy pastel luxury aesthetic — warm ivory and soft lilac held in gentle contrast, with a warm metallic-gold accent drawn from the logo and printed collateral, and generous whitespace. It borrows the restraint and craft of the reference brands (Aman, Oberoi, Six Senses, Bvlgari, Peninsula, Waldorf Astoria, Mandarin Oriental, Banyan Tree, Alila, St. Regis, Ritz-Carlton, Encore) while expressing a distinctive, contemporary character through soft colour and refined typography.</w:t>
      </w:r>
    </w:p>
    <w:tbl>
      <w:tblPr>
        <w:tblW w:type="dxa" w:w="9360"/>
        <w:tblBorders>
          <w:top w:val="single" w:color="C9A24B" w:sz="2"/>
          <w:left w:val="single" w:color="C9A24B" w:sz="2"/>
          <w:bottom w:val="single" w:color="C9A24B" w:sz="2"/>
          <w:right w:val="single" w:color="C9A24B" w:sz="2"/>
          <w:insideH w:val="single" w:color="C9A24B" w:sz="2"/>
          <w:insideV w:val="single" w:color="C9A24B" w:sz="2"/>
        </w:tblBorders>
      </w:tblPr>
      <w:tblGrid>
        <w:gridCol w:w="9360"/>
      </w:tblGrid>
      <w:tr>
        <w:tc>
          <w:tcPr>
            <w:tcW w:type="dxa" w:w="9360"/>
            <w:shd w:fill="F3ECFB" w:color="auto" w:val="clear"/>
            <w:tcMar>
              <w:top w:type="dxa" w:w="100"/>
              <w:left w:type="dxa" w:w="160"/>
              <w:bottom w:type="dxa" w:w="100"/>
              <w:right w:type="dxa" w:w="160"/>
            </w:tcMar>
          </w:tcPr>
          <w:p>
            <w:pPr>
              <w:spacing w:after="60" w:line="264"/>
            </w:pPr>
            <w:r>
              <w:rPr>
                <w:rFonts w:ascii="Calibri" w:cs="Calibri" w:eastAsia="Calibri" w:hAnsi="Calibri"/>
                <w:b/>
                <w:bCs/>
                <w:color w:val="3E2C55"/>
                <w:sz w:val="20"/>
                <w:szCs w:val="20"/>
              </w:rPr>
              <w:t xml:space="preserve">Direction change: </w:t>
            </w:r>
            <w:r>
              <w:rPr>
                <w:rFonts w:ascii="Calibri" w:cs="Calibri" w:eastAsia="Calibri" w:hAnsi="Calibri"/>
                <w:color w:val="2B2338"/>
                <w:sz w:val="20"/>
                <w:szCs w:val="20"/>
              </w:rPr>
              <w:t xml:space="preserve">This replaces the earlier dark, high-contrast jewel-tone scheme. Purple remains the brand hue but as light lilac/lavender rather than deep amethyst; the yellow/gold now in the logo is expressed on the web as a warm metallic gold matching the printed welcome-card collateral, and is the primary accent. The blue palette option was declined; the pastel purple option was chosen and lightened.</w:t>
            </w:r>
          </w:p>
        </w:tc>
      </w:tr>
    </w:tbl>
    <w:p>
      <w:pPr>
        <w:pStyle w:val="Heading2"/>
        <w:spacing w:after="100" w:before="200"/>
      </w:pPr>
      <w:r>
        <w:rPr>
          <w:rFonts w:ascii="Georgia" w:cs="Georgia" w:eastAsia="Georgia" w:hAnsi="Georgia"/>
          <w:b/>
          <w:bCs/>
          <w:color w:val="6E4FA3"/>
          <w:sz w:val="24"/>
          <w:szCs w:val="24"/>
        </w:rPr>
        <w:t xml:space="preserve">4.1 Colour palette</w:t>
      </w:r>
    </w:p>
    <w:p>
      <w:pPr>
        <w:spacing w:after="140" w:line="276"/>
      </w:pPr>
      <w:r>
        <w:rPr>
          <w:rFonts w:ascii="Calibri" w:cs="Calibri" w:eastAsia="Calibri" w:hAnsi="Calibri"/>
          <w:color w:val="2B2338"/>
          <w:sz w:val="21"/>
          <w:szCs w:val="21"/>
        </w:rPr>
        <w:t xml:space="preserve">Warm white / ivory dominates the pages, with soft lilac and lavender panels for rhythm and a warm-gold accent for buttons, dividers, kickers and the logo sparkle. A deep aubergine is used sparingly (footer, occasional band, strong text) for grounding and contrast. The gold is tuned to match the metallic gold of the printed collateral, so print and web read as one identity. The overall feel is fresh, soft and elegant rather than heavy.</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3000"/>
        <w:gridCol w:w="1800"/>
        <w:gridCol w:w="4560"/>
      </w:tblGrid>
      <w:tr>
        <w:trPr>
          <w:tblHeader/>
        </w:trPr>
        <w:tc>
          <w:tcPr>
            <w:tcW w:type="dxa" w:w="30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Role</w:t>
            </w:r>
          </w:p>
        </w:tc>
        <w:tc>
          <w:tcPr>
            <w:tcW w:type="dxa" w:w="18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Hex</w:t>
            </w:r>
          </w:p>
        </w:tc>
        <w:tc>
          <w:tcPr>
            <w:tcW w:type="dxa" w:w="45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Usage</w:t>
            </w:r>
          </w:p>
        </w:tc>
      </w:tr>
      <w:tr>
        <w:trPr>
          <w:tblHeader w:val="false"/>
        </w:trPr>
        <w:tc>
          <w:tcPr>
            <w:tcW w:type="dxa" w:w="30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Ivory / warm white</w:t>
            </w:r>
          </w:p>
        </w:tc>
        <w:tc>
          <w:tcPr>
            <w:tcW w:type="dxa" w:w="18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#FCFAF6</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Primary page background.</w:t>
            </w:r>
          </w:p>
        </w:tc>
      </w:tr>
      <w:tr>
        <w:trPr>
          <w:tblHeader w:val="false"/>
        </w:trPr>
        <w:tc>
          <w:tcPr>
            <w:tcW w:type="dxa" w:w="30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Lavender mist</w:t>
            </w:r>
          </w:p>
        </w:tc>
        <w:tc>
          <w:tcPr>
            <w:tcW w:type="dxa" w:w="18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#F3ECFB</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Soft alternate section backgrounds and washes.</w:t>
            </w:r>
          </w:p>
        </w:tc>
      </w:tr>
      <w:tr>
        <w:trPr>
          <w:tblHeader w:val="false"/>
        </w:trPr>
        <w:tc>
          <w:tcPr>
            <w:tcW w:type="dxa" w:w="30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Soft lilac</w:t>
            </w:r>
          </w:p>
        </w:tc>
        <w:tc>
          <w:tcPr>
            <w:tcW w:type="dxa" w:w="18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#DCC9F0</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Cards, raised surfaces and gentle panels.</w:t>
            </w:r>
          </w:p>
        </w:tc>
      </w:tr>
      <w:tr>
        <w:trPr>
          <w:tblHeader w:val="false"/>
        </w:trPr>
        <w:tc>
          <w:tcPr>
            <w:tcW w:type="dxa" w:w="30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Lilac (brand mid-tone)</w:t>
            </w:r>
          </w:p>
        </w:tc>
        <w:tc>
          <w:tcPr>
            <w:tcW w:type="dxa" w:w="18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#C3A5E6</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Buttons, hovers and accents on light sections.</w:t>
            </w:r>
          </w:p>
        </w:tc>
      </w:tr>
      <w:tr>
        <w:trPr>
          <w:tblHeader w:val="false"/>
        </w:trPr>
        <w:tc>
          <w:tcPr>
            <w:tcW w:type="dxa" w:w="30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Amethyst (deep accent)</w:t>
            </w:r>
          </w:p>
        </w:tc>
        <w:tc>
          <w:tcPr>
            <w:tcW w:type="dxa" w:w="18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#6E4FA3</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Headings accent, links and fine detail; used sparingly.</w:t>
            </w:r>
          </w:p>
        </w:tc>
      </w:tr>
      <w:tr>
        <w:trPr>
          <w:tblHeader w:val="false"/>
        </w:trPr>
        <w:tc>
          <w:tcPr>
            <w:tcW w:type="dxa" w:w="30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Aubergine (darkest)</w:t>
            </w:r>
          </w:p>
        </w:tc>
        <w:tc>
          <w:tcPr>
            <w:tcW w:type="dxa" w:w="18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#3E2C55</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Footer, occasional deep band, strong text; grounding.</w:t>
            </w:r>
          </w:p>
        </w:tc>
      </w:tr>
      <w:tr>
        <w:trPr>
          <w:tblHeader w:val="false"/>
        </w:trPr>
        <w:tc>
          <w:tcPr>
            <w:tcW w:type="dxa" w:w="30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Gold (primary accent)</w:t>
            </w:r>
          </w:p>
        </w:tc>
        <w:tc>
          <w:tcPr>
            <w:tcW w:type="dxa" w:w="18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#C9A24B</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Warm metallic gold matching the collateral — buttons, dividers, kickers, logo sparkle.</w:t>
            </w:r>
          </w:p>
        </w:tc>
      </w:tr>
      <w:tr>
        <w:trPr>
          <w:tblHeader w:val="false"/>
        </w:trPr>
        <w:tc>
          <w:tcPr>
            <w:tcW w:type="dxa" w:w="30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Soft gold</w:t>
            </w:r>
          </w:p>
        </w:tc>
        <w:tc>
          <w:tcPr>
            <w:tcW w:type="dxa" w:w="18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#EBDCB4</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Subtle highlights and washes.</w:t>
            </w:r>
          </w:p>
        </w:tc>
      </w:tr>
      <w:tr>
        <w:trPr>
          <w:tblHeader w:val="false"/>
        </w:trPr>
        <w:tc>
          <w:tcPr>
            <w:tcW w:type="dxa" w:w="30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Ink (text on light)</w:t>
            </w:r>
          </w:p>
        </w:tc>
        <w:tc>
          <w:tcPr>
            <w:tcW w:type="dxa" w:w="18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#2B2338</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Body text on ivory/lilac.</w:t>
            </w:r>
          </w:p>
        </w:tc>
      </w:tr>
    </w:tbl>
    <w:p>
      <w:pPr>
        <w:spacing w:after="80"/>
      </w:pPr>
    </w:p>
    <w:p>
      <w:pPr>
        <w:spacing w:after="140" w:line="276"/>
      </w:pPr>
      <w:r>
        <w:rPr>
          <w:rFonts w:ascii="Calibri" w:cs="Calibri" w:eastAsia="Calibri" w:hAnsi="Calibri"/>
          <w:b/>
          <w:bCs/>
          <w:color w:val="2B2338"/>
          <w:sz w:val="21"/>
          <w:szCs w:val="21"/>
        </w:rPr>
        <w:t xml:space="preserve">Accessibility note: </w:t>
      </w:r>
      <w:r>
        <w:rPr>
          <w:rFonts w:ascii="Calibri" w:cs="Calibri" w:eastAsia="Calibri" w:hAnsi="Calibri"/>
          <w:color w:val="2B2338"/>
          <w:sz w:val="21"/>
          <w:szCs w:val="21"/>
        </w:rPr>
        <w:t xml:space="preserve">the gold is used for fills, dividers, rules and accents, not for small text on light backgrounds (insufficient contrast). Text accents on light use amethyst/aubergine; gold text is reserved for placement on deep aubergine. Target WCAG 2.1 AA contrast throughout (Section 11).</w:t>
      </w:r>
    </w:p>
    <w:p>
      <w:pPr>
        <w:pStyle w:val="Heading2"/>
        <w:spacing w:after="100" w:before="200"/>
      </w:pPr>
      <w:r>
        <w:rPr>
          <w:rFonts w:ascii="Georgia" w:cs="Georgia" w:eastAsia="Georgia" w:hAnsi="Georgia"/>
          <w:b/>
          <w:bCs/>
          <w:color w:val="6E4FA3"/>
          <w:sz w:val="24"/>
          <w:szCs w:val="24"/>
        </w:rPr>
        <w:t xml:space="preserve">4.2 Typography</w:t>
      </w:r>
    </w:p>
    <w:p>
      <w:pPr>
        <w:pStyle w:val="ListParagraph"/>
        <w:numPr>
          <w:ilvl w:val="0"/>
          <w:numId w:val="2"/>
        </w:numPr>
        <w:spacing w:after="90" w:line="264"/>
      </w:pPr>
      <w:r>
        <w:rPr>
          <w:rFonts w:ascii="Calibri" w:cs="Calibri" w:eastAsia="Calibri" w:hAnsi="Calibri"/>
          <w:color w:val="2B2338"/>
          <w:sz w:val="21"/>
          <w:szCs w:val="21"/>
        </w:rPr>
        <w:t xml:space="preserve">Display / headings: a high-contrast serif (e.g., Playfair Display) with a refined, editorial character — echoing the fine, wide-tracked serif of the wordmark; used at large sizes with generous spacing.</w:t>
      </w:r>
    </w:p>
    <w:p>
      <w:pPr>
        <w:pStyle w:val="ListParagraph"/>
        <w:numPr>
          <w:ilvl w:val="0"/>
          <w:numId w:val="2"/>
        </w:numPr>
        <w:spacing w:after="90" w:line="264"/>
      </w:pPr>
      <w:r>
        <w:rPr>
          <w:rFonts w:ascii="Calibri" w:cs="Calibri" w:eastAsia="Calibri" w:hAnsi="Calibri"/>
          <w:color w:val="2B2338"/>
          <w:sz w:val="21"/>
          <w:szCs w:val="21"/>
        </w:rPr>
        <w:t xml:space="preserve">Body: Manrope — a clean, warm humanist sans for long text and forms.</w:t>
      </w:r>
    </w:p>
    <w:p>
      <w:pPr>
        <w:pStyle w:val="ListParagraph"/>
        <w:numPr>
          <w:ilvl w:val="0"/>
          <w:numId w:val="2"/>
        </w:numPr>
        <w:spacing w:after="90" w:line="264"/>
      </w:pPr>
      <w:r>
        <w:rPr>
          <w:rFonts w:ascii="Calibri" w:cs="Calibri" w:eastAsia="Calibri" w:hAnsi="Calibri"/>
          <w:color w:val="2B2338"/>
          <w:sz w:val="21"/>
          <w:szCs w:val="21"/>
        </w:rPr>
        <w:t xml:space="preserve">Accents / kickers: Manrope in uppercase with wide letter-spacing, in amethyst or on a gold rule.</w:t>
      </w:r>
    </w:p>
    <w:p>
      <w:pPr>
        <w:pStyle w:val="ListParagraph"/>
        <w:numPr>
          <w:ilvl w:val="0"/>
          <w:numId w:val="2"/>
        </w:numPr>
        <w:spacing w:after="90" w:line="264"/>
      </w:pPr>
      <w:r>
        <w:rPr>
          <w:rFonts w:ascii="Calibri" w:cs="Calibri" w:eastAsia="Calibri" w:hAnsi="Calibri"/>
          <w:color w:val="2B2338"/>
          <w:sz w:val="21"/>
          <w:szCs w:val="21"/>
        </w:rPr>
        <w:t xml:space="preserve">Both families include complete Cyrillic glyph sets for the Russian version.</w:t>
      </w:r>
    </w:p>
    <w:p>
      <w:pPr>
        <w:pStyle w:val="Heading2"/>
        <w:spacing w:after="100" w:before="200"/>
      </w:pPr>
      <w:r>
        <w:rPr>
          <w:rFonts w:ascii="Georgia" w:cs="Georgia" w:eastAsia="Georgia" w:hAnsi="Georgia"/>
          <w:b/>
          <w:bCs/>
          <w:color w:val="6E4FA3"/>
          <w:sz w:val="24"/>
          <w:szCs w:val="24"/>
        </w:rPr>
        <w:t xml:space="preserve">4.3 Logo usage</w:t>
      </w:r>
    </w:p>
    <w:p>
      <w:pPr>
        <w:spacing w:after="140" w:line="276"/>
      </w:pPr>
      <w:r>
        <w:rPr>
          <w:rFonts w:ascii="Calibri" w:cs="Calibri" w:eastAsia="Calibri" w:hAnsi="Calibri"/>
          <w:color w:val="2B2338"/>
          <w:sz w:val="21"/>
          <w:szCs w:val="21"/>
        </w:rPr>
        <w:t xml:space="preserve">Construction, taken from the printed collateral:</w:t>
      </w:r>
    </w:p>
    <w:p>
      <w:pPr>
        <w:pStyle w:val="ListParagraph"/>
        <w:numPr>
          <w:ilvl w:val="0"/>
          <w:numId w:val="2"/>
        </w:numPr>
        <w:spacing w:after="90" w:line="264"/>
      </w:pPr>
      <w:r>
        <w:rPr>
          <w:rFonts w:ascii="Calibri" w:cs="Calibri" w:eastAsia="Calibri" w:hAnsi="Calibri"/>
          <w:color w:val="2B2338"/>
          <w:sz w:val="21"/>
          <w:szCs w:val="21"/>
        </w:rPr>
        <w:t xml:space="preserve">Primary mark: the WP monogram — the W and P joined as one ligature — with a four-point sparkle set just above and to the right of the P.</w:t>
      </w:r>
    </w:p>
    <w:p>
      <w:pPr>
        <w:pStyle w:val="ListParagraph"/>
        <w:numPr>
          <w:ilvl w:val="0"/>
          <w:numId w:val="2"/>
        </w:numPr>
        <w:spacing w:after="90" w:line="264"/>
      </w:pPr>
      <w:r>
        <w:rPr>
          <w:rFonts w:ascii="Calibri" w:cs="Calibri" w:eastAsia="Calibri" w:hAnsi="Calibri"/>
          <w:color w:val="2B2338"/>
          <w:sz w:val="21"/>
          <w:szCs w:val="21"/>
        </w:rPr>
        <w:t xml:space="preserve">Wordmark: "WE PRESENT" set in a fine, high-contrast serif with wide, even letter-spacing; directly beneath, "by Coati" is centred and flanked by two short horizontal rules (a rule on each side).</w:t>
      </w:r>
    </w:p>
    <w:p>
      <w:pPr>
        <w:pStyle w:val="ListParagraph"/>
        <w:numPr>
          <w:ilvl w:val="0"/>
          <w:numId w:val="2"/>
        </w:numPr>
        <w:spacing w:after="90" w:line="264"/>
      </w:pPr>
      <w:r>
        <w:rPr>
          <w:rFonts w:ascii="Calibri" w:cs="Calibri" w:eastAsia="Calibri" w:hAnsi="Calibri"/>
          <w:color w:val="2B2338"/>
          <w:sz w:val="21"/>
          <w:szCs w:val="21"/>
        </w:rPr>
        <w:t xml:space="preserve">Lock-ups: the monogram + sparkle can stand alone (e.g., embossed sleeve) or sit with the wordmark; keep the sparkle’s position relative to the P consistent across both.</w:t>
      </w:r>
    </w:p>
    <w:p>
      <w:pPr>
        <w:pStyle w:val="ListParagraph"/>
        <w:numPr>
          <w:ilvl w:val="0"/>
          <w:numId w:val="2"/>
        </w:numPr>
        <w:spacing w:after="90" w:line="264"/>
      </w:pPr>
      <w:r>
        <w:rPr>
          <w:rFonts w:ascii="Calibri" w:cs="Calibri" w:eastAsia="Calibri" w:hAnsi="Calibri"/>
          <w:color w:val="2B2338"/>
          <w:sz w:val="21"/>
          <w:szCs w:val="21"/>
        </w:rPr>
        <w:t xml:space="preserve">Colour: on light sections use amethyst / aubergine or the warm gold; on deep aubergine use ivory/white or gold. The web gold should match the collateral’s metallic gold; keep it consistent between the logo sparkle and the site UI.</w:t>
      </w:r>
    </w:p>
    <w:p>
      <w:pPr>
        <w:pStyle w:val="ListParagraph"/>
        <w:numPr>
          <w:ilvl w:val="0"/>
          <w:numId w:val="2"/>
        </w:numPr>
        <w:spacing w:after="90" w:line="264"/>
      </w:pPr>
      <w:r>
        <w:rPr>
          <w:rFonts w:ascii="Calibri" w:cs="Calibri" w:eastAsia="Calibri" w:hAnsi="Calibri"/>
          <w:color w:val="2B2338"/>
          <w:sz w:val="21"/>
          <w:szCs w:val="21"/>
        </w:rPr>
        <w:t xml:space="preserve">Clear space &amp; size: maintain clear space around the mark at least equal to the height of the "P"; define exact minimum sizes during build.</w:t>
      </w:r>
    </w:p>
    <w:p>
      <w:pPr>
        <w:pStyle w:val="Heading2"/>
        <w:spacing w:after="100" w:before="200"/>
      </w:pPr>
      <w:r>
        <w:rPr>
          <w:rFonts w:ascii="Georgia" w:cs="Georgia" w:eastAsia="Georgia" w:hAnsi="Georgia"/>
          <w:b/>
          <w:bCs/>
          <w:color w:val="6E4FA3"/>
          <w:sz w:val="24"/>
          <w:szCs w:val="24"/>
        </w:rPr>
        <w:t xml:space="preserve">4.4 Layout, imagery &amp; motion</w:t>
      </w:r>
    </w:p>
    <w:p>
      <w:pPr>
        <w:pStyle w:val="ListParagraph"/>
        <w:numPr>
          <w:ilvl w:val="0"/>
          <w:numId w:val="2"/>
        </w:numPr>
        <w:spacing w:after="90" w:line="264"/>
      </w:pPr>
      <w:r>
        <w:rPr>
          <w:rFonts w:ascii="Calibri" w:cs="Calibri" w:eastAsia="Calibri" w:hAnsi="Calibri"/>
          <w:color w:val="2B2338"/>
          <w:sz w:val="21"/>
          <w:szCs w:val="21"/>
        </w:rPr>
        <w:t xml:space="preserve">Full-bleed hero imagery/video; alternating ivory and soft-lilac full-width sections; generous whitespace and large type.</w:t>
      </w:r>
    </w:p>
    <w:p>
      <w:pPr>
        <w:pStyle w:val="ListParagraph"/>
        <w:numPr>
          <w:ilvl w:val="0"/>
          <w:numId w:val="2"/>
        </w:numPr>
        <w:spacing w:after="90" w:line="264"/>
      </w:pPr>
      <w:r>
        <w:rPr>
          <w:rFonts w:ascii="Calibri" w:cs="Calibri" w:eastAsia="Calibri" w:hAnsi="Calibri"/>
          <w:color w:val="2B2338"/>
          <w:sz w:val="21"/>
          <w:szCs w:val="21"/>
        </w:rPr>
        <w:t xml:space="preserve">Bright, soft-lit photography; a light lilac/white scrim or a gentle aubergine-to-transparent gradient at the base of heroes keeps text legible over imagery.</w:t>
      </w:r>
    </w:p>
    <w:p>
      <w:pPr>
        <w:pStyle w:val="ListParagraph"/>
        <w:numPr>
          <w:ilvl w:val="0"/>
          <w:numId w:val="2"/>
        </w:numPr>
        <w:spacing w:after="90" w:line="264"/>
      </w:pPr>
      <w:r>
        <w:rPr>
          <w:rFonts w:ascii="Calibri" w:cs="Calibri" w:eastAsia="Calibri" w:hAnsi="Calibri"/>
          <w:color w:val="2B2338"/>
          <w:sz w:val="21"/>
          <w:szCs w:val="21"/>
        </w:rPr>
        <w:t xml:space="preserve">Slow, refined motion — gentle parallax, fades and scroll reveals; never flashy.</w:t>
      </w:r>
    </w:p>
    <w:p>
      <w:pPr>
        <w:pStyle w:val="ListParagraph"/>
        <w:numPr>
          <w:ilvl w:val="0"/>
          <w:numId w:val="2"/>
        </w:numPr>
        <w:spacing w:after="90" w:line="264"/>
      </w:pPr>
      <w:r>
        <w:rPr>
          <w:rFonts w:ascii="Calibri" w:cs="Calibri" w:eastAsia="Calibri" w:hAnsi="Calibri"/>
          <w:color w:val="2B2338"/>
          <w:sz w:val="21"/>
          <w:szCs w:val="21"/>
        </w:rPr>
        <w:t xml:space="preserve">Responsive, mobile-first; imagery optimized for retina yet fast (Section 11).</w:t>
      </w:r>
    </w:p>
    <w:p>
      <w:pPr>
        <w:pStyle w:val="Heading1"/>
        <w:spacing w:after="140" w:before="300"/>
      </w:pPr>
      <w:r>
        <w:rPr>
          <w:rFonts w:ascii="Georgia" w:cs="Georgia" w:eastAsia="Georgia" w:hAnsi="Georgia"/>
          <w:b/>
          <w:bCs/>
          <w:color w:val="3E2C55"/>
          <w:sz w:val="30"/>
          <w:szCs w:val="30"/>
        </w:rPr>
        <w:t xml:space="preserve">5. Technical Architecture</w:t>
      </w:r>
    </w:p>
    <w:p>
      <w:pPr>
        <w:spacing w:after="140" w:line="276"/>
      </w:pPr>
      <w:r>
        <w:rPr>
          <w:rFonts w:ascii="Calibri" w:cs="Calibri" w:eastAsia="Calibri" w:hAnsi="Calibri"/>
          <w:color w:val="2B2338"/>
          <w:sz w:val="21"/>
          <w:szCs w:val="21"/>
        </w:rPr>
        <w:t xml:space="preserve">Custom-coded for full control over the premium aesthetic and performance: a statically-rendered front end, a small serverless back end for forms, and a lightweight Git-based CMS so the Coati team can edit tour/event content without a developer.</w:t>
      </w:r>
    </w:p>
    <w:p>
      <w:pPr>
        <w:pStyle w:val="Heading2"/>
        <w:spacing w:after="100" w:before="200"/>
      </w:pPr>
      <w:r>
        <w:rPr>
          <w:rFonts w:ascii="Georgia" w:cs="Georgia" w:eastAsia="Georgia" w:hAnsi="Georgia"/>
          <w:b/>
          <w:bCs/>
          <w:color w:val="6E4FA3"/>
          <w:sz w:val="24"/>
          <w:szCs w:val="24"/>
        </w:rPr>
        <w:t xml:space="preserve">5.1 Recommended stack</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2600"/>
        <w:gridCol w:w="6760"/>
      </w:tblGrid>
      <w:tr>
        <w:trPr>
          <w:tblHeader/>
        </w:trPr>
        <w:tc>
          <w:tcPr>
            <w:tcW w:type="dxa" w:w="26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Layer</w:t>
            </w:r>
          </w:p>
        </w:tc>
        <w:tc>
          <w:tcPr>
            <w:tcW w:type="dxa" w:w="67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Recommendation &amp; rationale</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Framework</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Next.js (React) with static export — fast pages, built-in bilingual routing, serverless functions for the forms.</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Styling</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Tailwind CSS + design tokens (brand colours, type, spacing defined centrally so the pastel identity is easy to tune).</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Animation</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Framer Motion / lightweight scroll libraries for tasteful reveals and parallax.</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Content management</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Git-based CMS (Decap CMS or TinaCMS) giving the Coati team a friendly admin login to edit tours, dates, itineraries and event details. Edits are saved back to the repo and trigger an automatic rebuild/deploy. No monthly SaaS fee; fits the AWS static architecture. See Section 9.2.</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Media</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Images via the framework optimizer (AVIF/WebP, responsive sizes); video via optimized streaming, not raw MP4. Avoid Cloudflare-based media services (Section 10).</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Forms back end</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Serverless function + transactional email + object storage for uploads — Sections 8–9.</w:t>
            </w:r>
          </w:p>
        </w:tc>
      </w:tr>
    </w:tbl>
    <w:p>
      <w:pPr>
        <w:spacing w:after="80"/>
      </w:pPr>
    </w:p>
    <w:p>
      <w:pPr>
        <w:pStyle w:val="Heading2"/>
        <w:spacing w:after="100" w:before="200"/>
      </w:pPr>
      <w:r>
        <w:rPr>
          <w:rFonts w:ascii="Georgia" w:cs="Georgia" w:eastAsia="Georgia" w:hAnsi="Georgia"/>
          <w:b/>
          <w:bCs/>
          <w:color w:val="6E4FA3"/>
          <w:sz w:val="24"/>
          <w:szCs w:val="24"/>
        </w:rPr>
        <w:t xml:space="preserve">5.2 Rendering &amp; deployment</w:t>
      </w:r>
    </w:p>
    <w:p>
      <w:pPr>
        <w:spacing w:after="140" w:line="276"/>
      </w:pPr>
      <w:r>
        <w:rPr>
          <w:rFonts w:ascii="Calibri" w:cs="Calibri" w:eastAsia="Calibri" w:hAnsi="Calibri"/>
          <w:color w:val="2B2338"/>
          <w:sz w:val="21"/>
          <w:szCs w:val="21"/>
        </w:rPr>
        <w:t xml:space="preserve">Marketing pages are statically generated for speed and SEO; form endpoints run as serverless functions. Content managed in the portal is stored as structured files in the repository; saving in the CMS commits the change and triggers a rebuild + redeploy, so updates go live automatically within a few minutes. Deployment targets AWS — see Section 10 for the hosting decision and its Russia-accessibility constraints.</w:t>
      </w:r>
    </w:p>
    <w:p>
      <w:pPr>
        <w:pStyle w:val="Heading1"/>
        <w:spacing w:after="140" w:before="300"/>
      </w:pPr>
      <w:r>
        <w:rPr>
          <w:rFonts w:ascii="Georgia" w:cs="Georgia" w:eastAsia="Georgia" w:hAnsi="Georgia"/>
          <w:b/>
          <w:bCs/>
          <w:color w:val="3E2C55"/>
          <w:sz w:val="30"/>
          <w:szCs w:val="30"/>
        </w:rPr>
        <w:t xml:space="preserve">6. Information Architecture &amp; Build Specification</w:t>
      </w:r>
    </w:p>
    <w:p>
      <w:pPr>
        <w:spacing w:after="140" w:line="276"/>
      </w:pPr>
      <w:r>
        <w:rPr>
          <w:rFonts w:ascii="Calibri" w:cs="Calibri" w:eastAsia="Calibri" w:hAnsi="Calibri"/>
          <w:color w:val="2B2338"/>
          <w:sz w:val="21"/>
          <w:szCs w:val="21"/>
        </w:rPr>
        <w:t xml:space="preserve">Proposed sitemap for v1. All pages exist in Russian and English. The subsections that follow detail each page from header to footer, with the Section 4 pastel identity applied so each part reads as it will appear on the site.</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2600"/>
        <w:gridCol w:w="6760"/>
      </w:tblGrid>
      <w:tr>
        <w:trPr>
          <w:tblHeader/>
        </w:trPr>
        <w:tc>
          <w:tcPr>
            <w:tcW w:type="dxa" w:w="26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Page / section</w:t>
            </w:r>
          </w:p>
        </w:tc>
        <w:tc>
          <w:tcPr>
            <w:tcW w:type="dxa" w:w="67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Purpose &amp; key content</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Home</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Hero video/imagery; the concept in one line; the tours calendar highlight; upcoming-tour teasers; partner-logo strip; a "How It Was" taster; CTAs.</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About "We Present"</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Programme story, how it works, the merit/room-nights model.</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Tours (Calendar / Timeline)</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All upcoming trips on a calendar/timeline (2026 two Maldives tours + Oman; 2027 coming soon), each linking to its tour detail.</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Tour detail (per tour)</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The dated itinerary for a tour, its resorts, and — where relevant — the TTM overview and partner branding.</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Resort pages (×N)</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 dedicated page per resort (SO/, Fushifaru, Meyyafushi, Madifushi …): hero, description, key facts, story, official website link, inquiry form.</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How It Was</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Photos, short trip reports and reviews from past tours and events (Section 6.9).</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Partners</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Associated-partner logos + short profiles; link to the partnership request form.</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Register Interest (Agents)</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The retained registration form, framed as interest for the next edition — Section 8.1.</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Become a Partner (Hotels)</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Hotel partnership request form with file upload — Section 8.3.</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Contact</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General contact / private-trip inquiry form + Coati contact details and social links — Section 8.5.</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Legal</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Privacy policy &amp; consent, cookie notice.</w:t>
            </w:r>
          </w:p>
        </w:tc>
      </w:tr>
    </w:tbl>
    <w:p>
      <w:pPr>
        <w:spacing w:after="80"/>
      </w:pPr>
    </w:p>
    <w:p>
      <w:pPr>
        <w:pStyle w:val="Heading2"/>
        <w:spacing w:after="100" w:before="200"/>
      </w:pPr>
      <w:r>
        <w:rPr>
          <w:rFonts w:ascii="Georgia" w:cs="Georgia" w:eastAsia="Georgia" w:hAnsi="Georgia"/>
          <w:b/>
          <w:bCs/>
          <w:color w:val="6E4FA3"/>
          <w:sz w:val="24"/>
          <w:szCs w:val="24"/>
        </w:rPr>
        <w:t xml:space="preserve">6.1 Global elements (all pages)</w:t>
      </w:r>
    </w:p>
    <w:p>
      <w:pPr>
        <w:spacing w:after="140" w:line="276"/>
      </w:pPr>
      <w:r>
        <w:rPr>
          <w:rFonts w:ascii="Calibri" w:cs="Calibri" w:eastAsia="Calibri" w:hAnsi="Calibri"/>
          <w:color w:val="2B2338"/>
          <w:sz w:val="21"/>
          <w:szCs w:val="21"/>
        </w:rPr>
        <w:t xml:space="preserve">Header — transparent over the hero with the logo and navigation in ivory/white; on scroll it condenses to a solid ivory bar with ink nav text and gold hover underlines. Sticky across the site.</w:t>
      </w:r>
    </w:p>
    <w:p>
      <w:pPr>
        <w:pStyle w:val="ListParagraph"/>
        <w:numPr>
          <w:ilvl w:val="0"/>
          <w:numId w:val="2"/>
        </w:numPr>
        <w:spacing w:after="90" w:line="264"/>
      </w:pPr>
      <w:r>
        <w:rPr>
          <w:rFonts w:ascii="Calibri" w:cs="Calibri" w:eastAsia="Calibri" w:hAnsi="Calibri"/>
          <w:color w:val="2B2338"/>
          <w:sz w:val="21"/>
          <w:szCs w:val="21"/>
        </w:rPr>
        <w:t xml:space="preserve">Left: WP monogram + "We Present — by Coati Travel" wordmark (ivory/white while transparent, aubergine when solid).</w:t>
      </w:r>
    </w:p>
    <w:p>
      <w:pPr>
        <w:pStyle w:val="ListParagraph"/>
        <w:numPr>
          <w:ilvl w:val="0"/>
          <w:numId w:val="2"/>
        </w:numPr>
        <w:spacing w:after="90" w:line="264"/>
      </w:pPr>
      <w:r>
        <w:rPr>
          <w:rFonts w:ascii="Calibri" w:cs="Calibri" w:eastAsia="Calibri" w:hAnsi="Calibri"/>
          <w:color w:val="2B2338"/>
          <w:sz w:val="21"/>
          <w:szCs w:val="21"/>
        </w:rPr>
        <w:t xml:space="preserve">Centre/right: nav links — About, Tours, Resorts, Partners, How It Was, Contact; an RU/EN language switcher; and a gold "Register Interest" CTA button.</w:t>
      </w:r>
    </w:p>
    <w:p>
      <w:pPr>
        <w:pStyle w:val="ListParagraph"/>
        <w:numPr>
          <w:ilvl w:val="0"/>
          <w:numId w:val="2"/>
        </w:numPr>
        <w:spacing w:after="90" w:line="264"/>
      </w:pPr>
      <w:r>
        <w:rPr>
          <w:rFonts w:ascii="Calibri" w:cs="Calibri" w:eastAsia="Calibri" w:hAnsi="Calibri"/>
          <w:color w:val="2B2338"/>
          <w:sz w:val="21"/>
          <w:szCs w:val="21"/>
        </w:rPr>
        <w:t xml:space="preserve">Mobile: a hamburger opens a full-screen soft-lilac overlay with large serif links.</w:t>
      </w:r>
    </w:p>
    <w:p>
      <w:pPr>
        <w:spacing w:after="140" w:line="276"/>
      </w:pPr>
      <w:r>
        <w:rPr>
          <w:rFonts w:ascii="Calibri" w:cs="Calibri" w:eastAsia="Calibri" w:hAnsi="Calibri"/>
          <w:color w:val="2B2338"/>
          <w:sz w:val="21"/>
          <w:szCs w:val="21"/>
        </w:rPr>
        <w:t xml:space="preserve">Footer — deep-aubergine (#3E2C55) background with gold hairline dividers, ivory headings and soft-lilac secondary text, arranged in zones:</w:t>
      </w:r>
    </w:p>
    <w:p>
      <w:pPr>
        <w:pStyle w:val="ListParagraph"/>
        <w:numPr>
          <w:ilvl w:val="0"/>
          <w:numId w:val="2"/>
        </w:numPr>
        <w:spacing w:after="90" w:line="264"/>
      </w:pPr>
      <w:r>
        <w:rPr>
          <w:rFonts w:ascii="Calibri" w:cs="Calibri" w:eastAsia="Calibri" w:hAnsi="Calibri"/>
          <w:color w:val="2B2338"/>
          <w:sz w:val="21"/>
          <w:szCs w:val="21"/>
        </w:rPr>
        <w:t xml:space="preserve">Brand: WP monogram (gold/ivory) with a one-line descriptor.</w:t>
      </w:r>
    </w:p>
    <w:p>
      <w:pPr>
        <w:pStyle w:val="ListParagraph"/>
        <w:numPr>
          <w:ilvl w:val="0"/>
          <w:numId w:val="2"/>
        </w:numPr>
        <w:spacing w:after="90" w:line="264"/>
      </w:pPr>
      <w:r>
        <w:rPr>
          <w:rFonts w:ascii="Calibri" w:cs="Calibri" w:eastAsia="Calibri" w:hAnsi="Calibri"/>
          <w:color w:val="2B2338"/>
          <w:sz w:val="21"/>
          <w:szCs w:val="21"/>
        </w:rPr>
        <w:t xml:space="preserve">Explore: quick links to every page.</w:t>
      </w:r>
    </w:p>
    <w:p>
      <w:pPr>
        <w:pStyle w:val="ListParagraph"/>
        <w:numPr>
          <w:ilvl w:val="0"/>
          <w:numId w:val="2"/>
        </w:numPr>
        <w:spacing w:after="90" w:line="264"/>
      </w:pPr>
      <w:r>
        <w:rPr>
          <w:rFonts w:ascii="Calibri" w:cs="Calibri" w:eastAsia="Calibri" w:hAnsi="Calibri"/>
          <w:color w:val="2B2338"/>
          <w:sz w:val="21"/>
          <w:szCs w:val="21"/>
        </w:rPr>
        <w:t xml:space="preserve">Contact: the project’s professional email, phone number, and office address.</w:t>
      </w:r>
    </w:p>
    <w:p>
      <w:pPr>
        <w:pStyle w:val="ListParagraph"/>
        <w:numPr>
          <w:ilvl w:val="0"/>
          <w:numId w:val="2"/>
        </w:numPr>
        <w:spacing w:after="90" w:line="264"/>
      </w:pPr>
      <w:r>
        <w:rPr>
          <w:rFonts w:ascii="Calibri" w:cs="Calibri" w:eastAsia="Calibri" w:hAnsi="Calibri"/>
          <w:color w:val="2B2338"/>
          <w:sz w:val="21"/>
          <w:szCs w:val="21"/>
        </w:rPr>
        <w:t xml:space="preserve">Follow: Instagram (gold icon + handle).</w:t>
      </w:r>
    </w:p>
    <w:p>
      <w:pPr>
        <w:pStyle w:val="ListParagraph"/>
        <w:numPr>
          <w:ilvl w:val="0"/>
          <w:numId w:val="2"/>
        </w:numPr>
        <w:spacing w:after="90" w:line="264"/>
      </w:pPr>
      <w:r>
        <w:rPr>
          <w:rFonts w:ascii="Calibri" w:cs="Calibri" w:eastAsia="Calibri" w:hAnsi="Calibri"/>
          <w:color w:val="2B2338"/>
          <w:sz w:val="21"/>
          <w:szCs w:val="21"/>
        </w:rPr>
        <w:t xml:space="preserve">Parent brand: the Coati Travel logo with an "A project by Coati Travel" credit, linking to coatitravel.ru.</w:t>
      </w:r>
    </w:p>
    <w:p>
      <w:pPr>
        <w:pStyle w:val="ListParagraph"/>
        <w:numPr>
          <w:ilvl w:val="0"/>
          <w:numId w:val="2"/>
        </w:numPr>
        <w:spacing w:after="90" w:line="264"/>
      </w:pPr>
      <w:r>
        <w:rPr>
          <w:rFonts w:ascii="Calibri" w:cs="Calibri" w:eastAsia="Calibri" w:hAnsi="Calibri"/>
          <w:color w:val="2B2338"/>
          <w:sz w:val="21"/>
          <w:szCs w:val="21"/>
        </w:rPr>
        <w:t xml:space="preserve">Legal row: privacy-policy link, © 2026 We Present, and the language indicator.</w:t>
      </w:r>
    </w:p>
    <w:p>
      <w:pPr>
        <w:pStyle w:val="Heading2"/>
        <w:spacing w:after="100" w:before="200"/>
      </w:pPr>
      <w:r>
        <w:rPr>
          <w:rFonts w:ascii="Georgia" w:cs="Georgia" w:eastAsia="Georgia" w:hAnsi="Georgia"/>
          <w:b/>
          <w:bCs/>
          <w:color w:val="6E4FA3"/>
          <w:sz w:val="24"/>
          <w:szCs w:val="24"/>
        </w:rPr>
        <w:t xml:space="preserve">6.2 Home</w:t>
      </w:r>
    </w:p>
    <w:p>
      <w:pPr>
        <w:pStyle w:val="ListParagraph"/>
        <w:numPr>
          <w:ilvl w:val="0"/>
          <w:numId w:val="2"/>
        </w:numPr>
        <w:spacing w:after="90" w:line="264"/>
      </w:pPr>
      <w:r>
        <w:rPr>
          <w:rFonts w:ascii="Calibri" w:cs="Calibri" w:eastAsia="Calibri" w:hAnsi="Calibri"/>
          <w:color w:val="2B2338"/>
          <w:sz w:val="21"/>
          <w:szCs w:val="21"/>
        </w:rPr>
        <w:t xml:space="preserve">Hero: full-viewport image or short video with a soft light scrim; a gold kicker, a large serif headline in ivory/aubergine, a lead line, an upcoming-tours pill, a gold primary CTA and a subtle scroll cue.</w:t>
      </w:r>
    </w:p>
    <w:p>
      <w:pPr>
        <w:pStyle w:val="ListParagraph"/>
        <w:numPr>
          <w:ilvl w:val="0"/>
          <w:numId w:val="2"/>
        </w:numPr>
        <w:spacing w:after="90" w:line="264"/>
      </w:pPr>
      <w:r>
        <w:rPr>
          <w:rFonts w:ascii="Calibri" w:cs="Calibri" w:eastAsia="Calibri" w:hAnsi="Calibri"/>
          <w:color w:val="2B2338"/>
          <w:sz w:val="21"/>
          <w:szCs w:val="21"/>
        </w:rPr>
        <w:t xml:space="preserve">Concept (ivory): a centred serif-italic lede introducing "We Present", a supporting paragraph, a gold divider and a ghost button to About.</w:t>
      </w:r>
    </w:p>
    <w:p>
      <w:pPr>
        <w:pStyle w:val="ListParagraph"/>
        <w:numPr>
          <w:ilvl w:val="0"/>
          <w:numId w:val="2"/>
        </w:numPr>
        <w:spacing w:after="90" w:line="264"/>
      </w:pPr>
      <w:r>
        <w:rPr>
          <w:rFonts w:ascii="Calibri" w:cs="Calibri" w:eastAsia="Calibri" w:hAnsi="Calibri"/>
          <w:color w:val="2B2338"/>
          <w:sz w:val="21"/>
          <w:szCs w:val="21"/>
        </w:rPr>
        <w:t xml:space="preserve">Tours calendar highlight (lavender): the next upcoming tours as a compact timeline with dates and a CTA to the full Tours page.</w:t>
      </w:r>
    </w:p>
    <w:p>
      <w:pPr>
        <w:pStyle w:val="ListParagraph"/>
        <w:numPr>
          <w:ilvl w:val="0"/>
          <w:numId w:val="2"/>
        </w:numPr>
        <w:spacing w:after="90" w:line="264"/>
      </w:pPr>
      <w:r>
        <w:rPr>
          <w:rFonts w:ascii="Calibri" w:cs="Calibri" w:eastAsia="Calibri" w:hAnsi="Calibri"/>
          <w:color w:val="2B2338"/>
          <w:sz w:val="21"/>
          <w:szCs w:val="21"/>
        </w:rPr>
        <w:t xml:space="preserve">Resorts (ivory): resort cards with imagery, the resort name, an atoll label, a short line and a gold "Explore" link; a gentle lift on hover.</w:t>
      </w:r>
    </w:p>
    <w:p>
      <w:pPr>
        <w:pStyle w:val="ListParagraph"/>
        <w:numPr>
          <w:ilvl w:val="0"/>
          <w:numId w:val="2"/>
        </w:numPr>
        <w:spacing w:after="90" w:line="264"/>
      </w:pPr>
      <w:r>
        <w:rPr>
          <w:rFonts w:ascii="Calibri" w:cs="Calibri" w:eastAsia="Calibri" w:hAnsi="Calibri"/>
          <w:color w:val="2B2338"/>
          <w:sz w:val="21"/>
          <w:szCs w:val="21"/>
        </w:rPr>
        <w:t xml:space="preserve">Partners (soft lilac): a logo wall (hotels + TTM) in restrained tone that colourises on hover, with a short blurb.</w:t>
      </w:r>
    </w:p>
    <w:p>
      <w:pPr>
        <w:pStyle w:val="ListParagraph"/>
        <w:numPr>
          <w:ilvl w:val="0"/>
          <w:numId w:val="2"/>
        </w:numPr>
        <w:spacing w:after="90" w:line="264"/>
      </w:pPr>
      <w:r>
        <w:rPr>
          <w:rFonts w:ascii="Calibri" w:cs="Calibri" w:eastAsia="Calibri" w:hAnsi="Calibri"/>
          <w:color w:val="2B2338"/>
          <w:sz w:val="21"/>
          <w:szCs w:val="21"/>
        </w:rPr>
        <w:t xml:space="preserve">How It Was taster (ivory): a few images/quotes from past tours with a link to the full section (graceful placeholder before the first tour — Section 6.9).</w:t>
      </w:r>
    </w:p>
    <w:p>
      <w:pPr>
        <w:pStyle w:val="ListParagraph"/>
        <w:numPr>
          <w:ilvl w:val="0"/>
          <w:numId w:val="2"/>
        </w:numPr>
        <w:spacing w:after="90" w:line="264"/>
      </w:pPr>
      <w:r>
        <w:rPr>
          <w:rFonts w:ascii="Calibri" w:cs="Calibri" w:eastAsia="Calibri" w:hAnsi="Calibri"/>
          <w:color w:val="2B2338"/>
          <w:sz w:val="21"/>
          <w:szCs w:val="21"/>
        </w:rPr>
        <w:t xml:space="preserve">Register band (lilac → aubergine): a headline, one line of copy and a gold "Register Interest" CTA.</w:t>
      </w:r>
    </w:p>
    <w:p>
      <w:pPr>
        <w:pStyle w:val="Heading2"/>
        <w:spacing w:after="100" w:before="200"/>
      </w:pPr>
      <w:r>
        <w:rPr>
          <w:rFonts w:ascii="Georgia" w:cs="Georgia" w:eastAsia="Georgia" w:hAnsi="Georgia"/>
          <w:b/>
          <w:bCs/>
          <w:color w:val="6E4FA3"/>
          <w:sz w:val="24"/>
          <w:szCs w:val="24"/>
        </w:rPr>
        <w:t xml:space="preserve">6.3 About "We Present"</w:t>
      </w:r>
    </w:p>
    <w:p>
      <w:pPr>
        <w:pStyle w:val="ListParagraph"/>
        <w:numPr>
          <w:ilvl w:val="0"/>
          <w:numId w:val="2"/>
        </w:numPr>
        <w:spacing w:after="90" w:line="264"/>
      </w:pPr>
      <w:r>
        <w:rPr>
          <w:rFonts w:ascii="Calibri" w:cs="Calibri" w:eastAsia="Calibri" w:hAnsi="Calibri"/>
          <w:color w:val="2B2338"/>
          <w:sz w:val="21"/>
          <w:szCs w:val="21"/>
        </w:rPr>
        <w:t xml:space="preserve">A slim banner with the page title.</w:t>
      </w:r>
    </w:p>
    <w:p>
      <w:pPr>
        <w:pStyle w:val="ListParagraph"/>
        <w:numPr>
          <w:ilvl w:val="0"/>
          <w:numId w:val="2"/>
        </w:numPr>
        <w:spacing w:after="90" w:line="264"/>
      </w:pPr>
      <w:r>
        <w:rPr>
          <w:rFonts w:ascii="Calibri" w:cs="Calibri" w:eastAsia="Calibri" w:hAnsi="Calibri"/>
          <w:color w:val="2B2338"/>
          <w:sz w:val="21"/>
          <w:szCs w:val="21"/>
        </w:rPr>
        <w:t xml:space="preserve">Alternating story blocks: the concept; how it works; the merit / room-nights selection model shown as three elegant steps; and the benefits for agents. Pull-quotes in serif italic with supporting imagery.</w:t>
      </w:r>
    </w:p>
    <w:p>
      <w:pPr>
        <w:pStyle w:val="Heading2"/>
        <w:spacing w:after="100" w:before="200"/>
      </w:pPr>
      <w:r>
        <w:rPr>
          <w:rFonts w:ascii="Georgia" w:cs="Georgia" w:eastAsia="Georgia" w:hAnsi="Georgia"/>
          <w:b/>
          <w:bCs/>
          <w:color w:val="6E4FA3"/>
          <w:sz w:val="24"/>
          <w:szCs w:val="24"/>
        </w:rPr>
        <w:t xml:space="preserve">6.4 Tours (Calendar / Timeline)</w:t>
      </w:r>
    </w:p>
    <w:p>
      <w:pPr>
        <w:pStyle w:val="ListParagraph"/>
        <w:numPr>
          <w:ilvl w:val="0"/>
          <w:numId w:val="2"/>
        </w:numPr>
        <w:spacing w:after="90" w:line="264"/>
      </w:pPr>
      <w:r>
        <w:rPr>
          <w:rFonts w:ascii="Calibri" w:cs="Calibri" w:eastAsia="Calibri" w:hAnsi="Calibri"/>
          <w:color w:val="2B2338"/>
          <w:sz w:val="21"/>
          <w:szCs w:val="21"/>
        </w:rPr>
        <w:t xml:space="preserve">A banner title introducing the programme’s calendar of trips.</w:t>
      </w:r>
    </w:p>
    <w:p>
      <w:pPr>
        <w:pStyle w:val="ListParagraph"/>
        <w:numPr>
          <w:ilvl w:val="0"/>
          <w:numId w:val="2"/>
        </w:numPr>
        <w:spacing w:after="90" w:line="264"/>
      </w:pPr>
      <w:r>
        <w:rPr>
          <w:rFonts w:ascii="Calibri" w:cs="Calibri" w:eastAsia="Calibri" w:hAnsi="Calibri"/>
          <w:color w:val="2B2338"/>
          <w:sz w:val="21"/>
          <w:szCs w:val="21"/>
        </w:rPr>
        <w:t xml:space="preserve">A calendar / timeline of all tours grouped by year (2026: the two Maldives tours + Oman December; 2027: coming soon), each entry showing destination, dates (or "dates coming soon") and a status/label, linking to its tour detail.</w:t>
      </w:r>
    </w:p>
    <w:p>
      <w:pPr>
        <w:pStyle w:val="ListParagraph"/>
        <w:numPr>
          <w:ilvl w:val="0"/>
          <w:numId w:val="2"/>
        </w:numPr>
        <w:spacing w:after="90" w:line="264"/>
      </w:pPr>
      <w:r>
        <w:rPr>
          <w:rFonts w:ascii="Calibri" w:cs="Calibri" w:eastAsia="Calibri" w:hAnsi="Calibri"/>
          <w:color w:val="2B2338"/>
          <w:sz w:val="21"/>
          <w:szCs w:val="21"/>
        </w:rPr>
        <w:t xml:space="preserve">Tours with unconfirmed dates show a clear "coming soon" state; all dates and labels are editable via the portal (Section 9.2).</w:t>
      </w:r>
    </w:p>
    <w:p>
      <w:pPr>
        <w:pStyle w:val="Heading2"/>
        <w:spacing w:after="100" w:before="200"/>
      </w:pPr>
      <w:r>
        <w:rPr>
          <w:rFonts w:ascii="Georgia" w:cs="Georgia" w:eastAsia="Georgia" w:hAnsi="Georgia"/>
          <w:b/>
          <w:bCs/>
          <w:color w:val="6E4FA3"/>
          <w:sz w:val="24"/>
          <w:szCs w:val="24"/>
        </w:rPr>
        <w:t xml:space="preserve">6.5 Tour detail (per tour)</w:t>
      </w:r>
    </w:p>
    <w:p>
      <w:pPr>
        <w:pStyle w:val="ListParagraph"/>
        <w:numPr>
          <w:ilvl w:val="0"/>
          <w:numId w:val="2"/>
        </w:numPr>
        <w:spacing w:after="90" w:line="264"/>
      </w:pPr>
      <w:r>
        <w:rPr>
          <w:rFonts w:ascii="Calibri" w:cs="Calibri" w:eastAsia="Calibri" w:hAnsi="Calibri"/>
          <w:color w:val="2B2338"/>
          <w:sz w:val="21"/>
          <w:szCs w:val="21"/>
        </w:rPr>
        <w:t xml:space="preserve">A hero with the tour name, destination and dates.</w:t>
      </w:r>
    </w:p>
    <w:p>
      <w:pPr>
        <w:pStyle w:val="ListParagraph"/>
        <w:numPr>
          <w:ilvl w:val="0"/>
          <w:numId w:val="2"/>
        </w:numPr>
        <w:spacing w:after="90" w:line="264"/>
      </w:pPr>
      <w:r>
        <w:rPr>
          <w:rFonts w:ascii="Calibri" w:cs="Calibri" w:eastAsia="Calibri" w:hAnsi="Calibri"/>
          <w:color w:val="2B2338"/>
          <w:sz w:val="21"/>
          <w:szCs w:val="21"/>
        </w:rPr>
        <w:t xml:space="preserve">The full dated itinerary as a vertical timeline (Section 3), each stop linking to its resort page, with gold date markers.</w:t>
      </w:r>
    </w:p>
    <w:p>
      <w:pPr>
        <w:pStyle w:val="ListParagraph"/>
        <w:numPr>
          <w:ilvl w:val="0"/>
          <w:numId w:val="2"/>
        </w:numPr>
        <w:spacing w:after="90" w:line="264"/>
      </w:pPr>
      <w:r>
        <w:rPr>
          <w:rFonts w:ascii="Calibri" w:cs="Calibri" w:eastAsia="Calibri" w:hAnsi="Calibri"/>
          <w:color w:val="2B2338"/>
          <w:sz w:val="21"/>
          <w:szCs w:val="21"/>
        </w:rPr>
        <w:t xml:space="preserve">For the TTM tour: a short TTM 2026 overview and a partner-branding block (hotel + TTM logos with short blurbs).</w:t>
      </w:r>
    </w:p>
    <w:p>
      <w:pPr>
        <w:pStyle w:val="Heading2"/>
        <w:spacing w:after="100" w:before="200"/>
      </w:pPr>
      <w:r>
        <w:rPr>
          <w:rFonts w:ascii="Georgia" w:cs="Georgia" w:eastAsia="Georgia" w:hAnsi="Georgia"/>
          <w:b/>
          <w:bCs/>
          <w:color w:val="6E4FA3"/>
          <w:sz w:val="24"/>
          <w:szCs w:val="24"/>
        </w:rPr>
        <w:t xml:space="preserve">6.6 Resort pages (template)</w:t>
      </w:r>
    </w:p>
    <w:p>
      <w:pPr>
        <w:pStyle w:val="ListParagraph"/>
        <w:numPr>
          <w:ilvl w:val="0"/>
          <w:numId w:val="2"/>
        </w:numPr>
        <w:spacing w:after="90" w:line="264"/>
      </w:pPr>
      <w:r>
        <w:rPr>
          <w:rFonts w:ascii="Calibri" w:cs="Calibri" w:eastAsia="Calibri" w:hAnsi="Calibri"/>
          <w:color w:val="2B2338"/>
          <w:sz w:val="21"/>
          <w:szCs w:val="21"/>
        </w:rPr>
        <w:t xml:space="preserve">Full-bleed hero: the resort name, atoll and stay dates over the property image.</w:t>
      </w:r>
    </w:p>
    <w:p>
      <w:pPr>
        <w:pStyle w:val="ListParagraph"/>
        <w:numPr>
          <w:ilvl w:val="0"/>
          <w:numId w:val="2"/>
        </w:numPr>
        <w:spacing w:after="90" w:line="264"/>
      </w:pPr>
      <w:r>
        <w:rPr>
          <w:rFonts w:ascii="Calibri" w:cs="Calibri" w:eastAsia="Calibri" w:hAnsi="Calibri"/>
          <w:color w:val="2B2338"/>
          <w:sz w:val="21"/>
          <w:szCs w:val="21"/>
        </w:rPr>
        <w:t xml:space="preserve">Story (light): a beautifully written narrative introducing the property.</w:t>
      </w:r>
    </w:p>
    <w:p>
      <w:pPr>
        <w:pStyle w:val="ListParagraph"/>
        <w:numPr>
          <w:ilvl w:val="0"/>
          <w:numId w:val="2"/>
        </w:numPr>
        <w:spacing w:after="90" w:line="264"/>
      </w:pPr>
      <w:r>
        <w:rPr>
          <w:rFonts w:ascii="Calibri" w:cs="Calibri" w:eastAsia="Calibri" w:hAnsi="Calibri"/>
          <w:color w:val="2B2338"/>
          <w:sz w:val="21"/>
          <w:szCs w:val="21"/>
        </w:rPr>
        <w:t xml:space="preserve">Key-facts panel (soft-lilac card): location, room/villa types, facilities, and the official website link.</w:t>
      </w:r>
    </w:p>
    <w:p>
      <w:pPr>
        <w:pStyle w:val="ListParagraph"/>
        <w:numPr>
          <w:ilvl w:val="0"/>
          <w:numId w:val="2"/>
        </w:numPr>
        <w:spacing w:after="90" w:line="264"/>
      </w:pPr>
      <w:r>
        <w:rPr>
          <w:rFonts w:ascii="Calibri" w:cs="Calibri" w:eastAsia="Calibri" w:hAnsi="Calibri"/>
          <w:color w:val="2B2338"/>
          <w:sz w:val="21"/>
          <w:szCs w:val="21"/>
        </w:rPr>
        <w:t xml:space="preserve">Gallery: a responsive grid with lightbox.</w:t>
      </w:r>
    </w:p>
    <w:p>
      <w:pPr>
        <w:pStyle w:val="ListParagraph"/>
        <w:numPr>
          <w:ilvl w:val="0"/>
          <w:numId w:val="2"/>
        </w:numPr>
        <w:spacing w:after="90" w:line="264"/>
      </w:pPr>
      <w:r>
        <w:rPr>
          <w:rFonts w:ascii="Calibri" w:cs="Calibri" w:eastAsia="Calibri" w:hAnsi="Calibri"/>
          <w:color w:val="2B2338"/>
          <w:sz w:val="21"/>
          <w:szCs w:val="21"/>
        </w:rPr>
        <w:t xml:space="preserve">Inquiry form: "I’m interested — request price/availability" (Section 8.2), styled to the palette; routes to Coati.</w:t>
      </w:r>
    </w:p>
    <w:p>
      <w:pPr>
        <w:pStyle w:val="ListParagraph"/>
        <w:numPr>
          <w:ilvl w:val="0"/>
          <w:numId w:val="2"/>
        </w:numPr>
        <w:spacing w:after="90" w:line="264"/>
      </w:pPr>
      <w:r>
        <w:rPr>
          <w:rFonts w:ascii="Calibri" w:cs="Calibri" w:eastAsia="Calibri" w:hAnsi="Calibri"/>
          <w:color w:val="2B2338"/>
          <w:sz w:val="21"/>
          <w:szCs w:val="21"/>
        </w:rPr>
        <w:t xml:space="preserve">Previous / next resort navigation.</w:t>
      </w:r>
    </w:p>
    <w:p>
      <w:pPr>
        <w:pStyle w:val="Heading2"/>
        <w:spacing w:after="100" w:before="200"/>
      </w:pPr>
      <w:r>
        <w:rPr>
          <w:rFonts w:ascii="Georgia" w:cs="Georgia" w:eastAsia="Georgia" w:hAnsi="Georgia"/>
          <w:b/>
          <w:bCs/>
          <w:color w:val="6E4FA3"/>
          <w:sz w:val="24"/>
          <w:szCs w:val="24"/>
        </w:rPr>
        <w:t xml:space="preserve">6.7 Partners</w:t>
      </w:r>
    </w:p>
    <w:p>
      <w:pPr>
        <w:pStyle w:val="ListParagraph"/>
        <w:numPr>
          <w:ilvl w:val="0"/>
          <w:numId w:val="2"/>
        </w:numPr>
        <w:spacing w:after="90" w:line="264"/>
      </w:pPr>
      <w:r>
        <w:rPr>
          <w:rFonts w:ascii="Calibri" w:cs="Calibri" w:eastAsia="Calibri" w:hAnsi="Calibri"/>
          <w:color w:val="2B2338"/>
          <w:sz w:val="21"/>
          <w:szCs w:val="21"/>
        </w:rPr>
        <w:t xml:space="preserve">A banner title; a logo grid with short partner profiles (hotels + TTM + associated partners).</w:t>
      </w:r>
    </w:p>
    <w:p>
      <w:pPr>
        <w:pStyle w:val="ListParagraph"/>
        <w:numPr>
          <w:ilvl w:val="0"/>
          <w:numId w:val="2"/>
        </w:numPr>
        <w:spacing w:after="90" w:line="264"/>
      </w:pPr>
      <w:r>
        <w:rPr>
          <w:rFonts w:ascii="Calibri" w:cs="Calibri" w:eastAsia="Calibri" w:hAnsi="Calibri"/>
          <w:color w:val="2B2338"/>
          <w:sz w:val="21"/>
          <w:szCs w:val="21"/>
        </w:rPr>
        <w:t xml:space="preserve">A CTA to the "Become a Partner" form.</w:t>
      </w:r>
    </w:p>
    <w:p>
      <w:pPr>
        <w:pStyle w:val="Heading2"/>
        <w:spacing w:after="100" w:before="200"/>
      </w:pPr>
      <w:r>
        <w:rPr>
          <w:rFonts w:ascii="Georgia" w:cs="Georgia" w:eastAsia="Georgia" w:hAnsi="Georgia"/>
          <w:b/>
          <w:bCs/>
          <w:color w:val="6E4FA3"/>
          <w:sz w:val="24"/>
          <w:szCs w:val="24"/>
        </w:rPr>
        <w:t xml:space="preserve">6.8 Register Interest (Agents) &amp; Become a Partner (Hotels)</w:t>
      </w:r>
    </w:p>
    <w:p>
      <w:pPr>
        <w:pStyle w:val="ListParagraph"/>
        <w:numPr>
          <w:ilvl w:val="0"/>
          <w:numId w:val="2"/>
        </w:numPr>
        <w:spacing w:after="90" w:line="264"/>
      </w:pPr>
      <w:r>
        <w:rPr>
          <w:rFonts w:ascii="Calibri" w:cs="Calibri" w:eastAsia="Calibri" w:hAnsi="Calibri"/>
          <w:color w:val="2B2338"/>
          <w:sz w:val="21"/>
          <w:szCs w:val="21"/>
        </w:rPr>
        <w:t xml:space="preserve">Register Interest: the registration form (Section 8.1) on a soft-lilac card over ivory — gold focus states, clear file-upload zones for the statistics and business card, a consent checkbox and a gold submit button; an elegant confirmation state on success.</w:t>
      </w:r>
    </w:p>
    <w:p>
      <w:pPr>
        <w:pStyle w:val="ListParagraph"/>
        <w:numPr>
          <w:ilvl w:val="0"/>
          <w:numId w:val="2"/>
        </w:numPr>
        <w:spacing w:after="90" w:line="264"/>
      </w:pPr>
      <w:r>
        <w:rPr>
          <w:rFonts w:ascii="Calibri" w:cs="Calibri" w:eastAsia="Calibri" w:hAnsi="Calibri"/>
          <w:color w:val="2B2338"/>
          <w:sz w:val="21"/>
          <w:szCs w:val="21"/>
        </w:rPr>
        <w:t xml:space="preserve">Become a Partner: the same treatment with the partnership form (Section 8.3) including the image/brochure upload; routes to Coati.</w:t>
      </w:r>
    </w:p>
    <w:p>
      <w:pPr>
        <w:pStyle w:val="Heading2"/>
        <w:spacing w:after="100" w:before="200"/>
      </w:pPr>
      <w:r>
        <w:rPr>
          <w:rFonts w:ascii="Georgia" w:cs="Georgia" w:eastAsia="Georgia" w:hAnsi="Georgia"/>
          <w:b/>
          <w:bCs/>
          <w:color w:val="6E4FA3"/>
          <w:sz w:val="24"/>
          <w:szCs w:val="24"/>
        </w:rPr>
        <w:t xml:space="preserve">6.9 How It Was</w:t>
      </w:r>
    </w:p>
    <w:p>
      <w:pPr>
        <w:spacing w:after="140" w:line="276"/>
      </w:pPr>
      <w:r>
        <w:rPr>
          <w:rFonts w:ascii="Calibri" w:cs="Calibri" w:eastAsia="Calibri" w:hAnsi="Calibri"/>
          <w:color w:val="2B2338"/>
          <w:sz w:val="21"/>
          <w:szCs w:val="21"/>
        </w:rPr>
        <w:t xml:space="preserve">A new section showcasing past tours and events. Because 2026 is the launch season, it opens in a graceful "coming soon" state and fills in after the first tours. Content is added by the Coati team via the portal (Section 9.2).</w:t>
      </w:r>
    </w:p>
    <w:p>
      <w:pPr>
        <w:pStyle w:val="ListParagraph"/>
        <w:numPr>
          <w:ilvl w:val="0"/>
          <w:numId w:val="2"/>
        </w:numPr>
        <w:spacing w:after="90" w:line="264"/>
      </w:pPr>
      <w:r>
        <w:rPr>
          <w:rFonts w:ascii="Calibri" w:cs="Calibri" w:eastAsia="Calibri" w:hAnsi="Calibri"/>
          <w:color w:val="2B2338"/>
          <w:sz w:val="21"/>
          <w:szCs w:val="21"/>
        </w:rPr>
        <w:t xml:space="preserve">Photo galleries from previous tours and events (grid + lightbox).</w:t>
      </w:r>
    </w:p>
    <w:p>
      <w:pPr>
        <w:pStyle w:val="ListParagraph"/>
        <w:numPr>
          <w:ilvl w:val="0"/>
          <w:numId w:val="2"/>
        </w:numPr>
        <w:spacing w:after="90" w:line="264"/>
      </w:pPr>
      <w:r>
        <w:rPr>
          <w:rFonts w:ascii="Calibri" w:cs="Calibri" w:eastAsia="Calibri" w:hAnsi="Calibri"/>
          <w:color w:val="2B2338"/>
          <w:sz w:val="21"/>
          <w:szCs w:val="21"/>
        </w:rPr>
        <w:t xml:space="preserve">Short trip reports / recaps of each past tour.</w:t>
      </w:r>
    </w:p>
    <w:p>
      <w:pPr>
        <w:pStyle w:val="ListParagraph"/>
        <w:numPr>
          <w:ilvl w:val="0"/>
          <w:numId w:val="2"/>
        </w:numPr>
        <w:spacing w:after="90" w:line="264"/>
      </w:pPr>
      <w:r>
        <w:rPr>
          <w:rFonts w:ascii="Calibri" w:cs="Calibri" w:eastAsia="Calibri" w:hAnsi="Calibri"/>
          <w:color w:val="2B2338"/>
          <w:sz w:val="21"/>
          <w:szCs w:val="21"/>
        </w:rPr>
        <w:t xml:space="preserve">Reviews and testimonials from participating agents.</w:t>
      </w:r>
    </w:p>
    <w:p>
      <w:pPr>
        <w:pStyle w:val="ListParagraph"/>
        <w:numPr>
          <w:ilvl w:val="0"/>
          <w:numId w:val="2"/>
        </w:numPr>
        <w:spacing w:after="90" w:line="264"/>
      </w:pPr>
      <w:r>
        <w:rPr>
          <w:rFonts w:ascii="Calibri" w:cs="Calibri" w:eastAsia="Calibri" w:hAnsi="Calibri"/>
          <w:color w:val="2B2338"/>
          <w:sz w:val="21"/>
          <w:szCs w:val="21"/>
        </w:rPr>
        <w:t xml:space="preserve">Reviews from hotel partners.</w:t>
      </w:r>
    </w:p>
    <w:p>
      <w:pPr>
        <w:pStyle w:val="ListParagraph"/>
        <w:numPr>
          <w:ilvl w:val="0"/>
          <w:numId w:val="2"/>
        </w:numPr>
        <w:spacing w:after="90" w:line="264"/>
      </w:pPr>
      <w:r>
        <w:rPr>
          <w:rFonts w:ascii="Calibri" w:cs="Calibri" w:eastAsia="Calibri" w:hAnsi="Calibri"/>
          <w:color w:val="2B2338"/>
          <w:sz w:val="21"/>
          <w:szCs w:val="21"/>
        </w:rPr>
        <w:t xml:space="preserve">Highlights from previous projects.</w:t>
      </w:r>
    </w:p>
    <w:p>
      <w:pPr>
        <w:pStyle w:val="ListParagraph"/>
        <w:numPr>
          <w:ilvl w:val="0"/>
          <w:numId w:val="2"/>
        </w:numPr>
        <w:spacing w:after="90" w:line="264"/>
      </w:pPr>
      <w:r>
        <w:rPr>
          <w:rFonts w:ascii="Calibri" w:cs="Calibri" w:eastAsia="Calibri" w:hAnsi="Calibri"/>
          <w:color w:val="2B2338"/>
          <w:sz w:val="21"/>
          <w:szCs w:val="21"/>
        </w:rPr>
        <w:t xml:space="preserve">Pre-first-tour state: an elegant "Our first journeys are coming this August — stories and photos will appear here soon" placeholder, so the section never looks empty.</w:t>
      </w:r>
    </w:p>
    <w:p>
      <w:pPr>
        <w:pStyle w:val="Heading2"/>
        <w:spacing w:after="100" w:before="200"/>
      </w:pPr>
      <w:r>
        <w:rPr>
          <w:rFonts w:ascii="Georgia" w:cs="Georgia" w:eastAsia="Georgia" w:hAnsi="Georgia"/>
          <w:b/>
          <w:bCs/>
          <w:color w:val="6E4FA3"/>
          <w:sz w:val="24"/>
          <w:szCs w:val="24"/>
        </w:rPr>
        <w:t xml:space="preserve">6.10 Contact</w:t>
      </w:r>
    </w:p>
    <w:p>
      <w:pPr>
        <w:spacing w:after="140" w:line="276"/>
      </w:pPr>
      <w:r>
        <w:rPr>
          <w:rFonts w:ascii="Calibri" w:cs="Calibri" w:eastAsia="Calibri" w:hAnsi="Calibri"/>
          <w:color w:val="2B2338"/>
          <w:sz w:val="21"/>
          <w:szCs w:val="21"/>
        </w:rPr>
        <w:t xml:space="preserve">Retained by client request: even visitors who are not joining a scheduled tour may discover the site and want to get in touch or request a private trip. The Contact page carries the general contact / private-trip inquiry form (Section 8.5) alongside the project email, phone and office address, plus the Instagram link.</w:t>
      </w:r>
    </w:p>
    <w:p>
      <w:pPr>
        <w:pStyle w:val="Heading1"/>
        <w:spacing w:after="140" w:before="300"/>
      </w:pPr>
      <w:r>
        <w:rPr>
          <w:rFonts w:ascii="Georgia" w:cs="Georgia" w:eastAsia="Georgia" w:hAnsi="Georgia"/>
          <w:b/>
          <w:bCs/>
          <w:color w:val="3E2C55"/>
          <w:sz w:val="30"/>
          <w:szCs w:val="30"/>
        </w:rPr>
        <w:t xml:space="preserve">7. Bilingual Support (Russian + English)</w:t>
      </w:r>
    </w:p>
    <w:p>
      <w:pPr>
        <w:pStyle w:val="ListParagraph"/>
        <w:numPr>
          <w:ilvl w:val="0"/>
          <w:numId w:val="2"/>
        </w:numPr>
        <w:spacing w:after="90" w:line="264"/>
      </w:pPr>
      <w:r>
        <w:rPr>
          <w:rFonts w:ascii="Calibri" w:cs="Calibri" w:eastAsia="Calibri" w:hAnsi="Calibri"/>
          <w:color w:val="2B2338"/>
          <w:sz w:val="21"/>
          <w:szCs w:val="21"/>
        </w:rPr>
        <w:t xml:space="preserve">Locale-based routing (/ru, /en) with a persistent language switcher; Russian as default.</w:t>
      </w:r>
    </w:p>
    <w:p>
      <w:pPr>
        <w:pStyle w:val="ListParagraph"/>
        <w:numPr>
          <w:ilvl w:val="0"/>
          <w:numId w:val="2"/>
        </w:numPr>
        <w:spacing w:after="90" w:line="264"/>
      </w:pPr>
      <w:r>
        <w:rPr>
          <w:rFonts w:ascii="Calibri" w:cs="Calibri" w:eastAsia="Calibri" w:hAnsi="Calibri"/>
          <w:color w:val="2B2338"/>
          <w:sz w:val="21"/>
          <w:szCs w:val="21"/>
        </w:rPr>
        <w:t xml:space="preserve">All copy, form labels, validation messages and emails translated; content stored per locale — including portal-managed tour/event content.</w:t>
      </w:r>
    </w:p>
    <w:p>
      <w:pPr>
        <w:pStyle w:val="ListParagraph"/>
        <w:numPr>
          <w:ilvl w:val="0"/>
          <w:numId w:val="2"/>
        </w:numPr>
        <w:spacing w:after="90" w:line="264"/>
      </w:pPr>
      <w:r>
        <w:rPr>
          <w:rFonts w:ascii="Calibri" w:cs="Calibri" w:eastAsia="Calibri" w:hAnsi="Calibri"/>
          <w:color w:val="2B2338"/>
          <w:sz w:val="21"/>
          <w:szCs w:val="21"/>
        </w:rPr>
        <w:t xml:space="preserve">hreflang tags and localized meta for SEO; Cyrillic-complete fonts.</w:t>
      </w:r>
    </w:p>
    <w:p>
      <w:pPr>
        <w:spacing w:after="140" w:line="276"/>
      </w:pPr>
      <w:r>
        <w:rPr>
          <w:rFonts w:ascii="Calibri" w:cs="Calibri" w:eastAsia="Calibri" w:hAnsi="Calibri"/>
          <w:color w:val="2B2338"/>
          <w:sz w:val="21"/>
          <w:szCs w:val="21"/>
        </w:rPr>
        <w:t xml:space="preserve">Client provides main content in Russian and English. The registration form was supplied in English; the developer will add Russian translations of the questions for Russian users.</w:t>
      </w:r>
    </w:p>
    <w:p>
      <w:pPr>
        <w:pStyle w:val="Heading1"/>
        <w:spacing w:after="140" w:before="300"/>
      </w:pPr>
      <w:r>
        <w:rPr>
          <w:rFonts w:ascii="Georgia" w:cs="Georgia" w:eastAsia="Georgia" w:hAnsi="Georgia"/>
          <w:b/>
          <w:bCs/>
          <w:color w:val="3E2C55"/>
          <w:sz w:val="30"/>
          <w:szCs w:val="30"/>
        </w:rPr>
        <w:t xml:space="preserve">8. Forms &amp; Submission Handling</w:t>
      </w:r>
    </w:p>
    <w:p>
      <w:pPr>
        <w:pStyle w:val="Heading2"/>
        <w:spacing w:after="100" w:before="200"/>
      </w:pPr>
      <w:r>
        <w:rPr>
          <w:rFonts w:ascii="Georgia" w:cs="Georgia" w:eastAsia="Georgia" w:hAnsi="Georgia"/>
          <w:b/>
          <w:bCs/>
          <w:color w:val="6E4FA3"/>
          <w:sz w:val="24"/>
          <w:szCs w:val="24"/>
        </w:rPr>
        <w:t xml:space="preserve">8.1 Agent registration / interest form</w:t>
      </w:r>
    </w:p>
    <w:p>
      <w:pPr>
        <w:spacing w:after="140" w:line="276"/>
      </w:pPr>
      <w:r>
        <w:rPr>
          <w:rFonts w:ascii="Calibri" w:cs="Calibri" w:eastAsia="Calibri" w:hAnsi="Calibri"/>
          <w:color w:val="2B2338"/>
          <w:sz w:val="21"/>
          <w:szCs w:val="21"/>
        </w:rPr>
        <w:t xml:space="preserve">Retained and displayed on the site; title repurposed toward registering interest for the next edition ("We Present 2027"). Fields as supplied by the client:</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3400"/>
        <w:gridCol w:w="1400"/>
        <w:gridCol w:w="4560"/>
      </w:tblGrid>
      <w:tr>
        <w:trPr>
          <w:tblHeader/>
        </w:trPr>
        <w:tc>
          <w:tcPr>
            <w:tcW w:type="dxa" w:w="34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Field</w:t>
            </w:r>
          </w:p>
        </w:tc>
        <w:tc>
          <w:tcPr>
            <w:tcW w:type="dxa" w:w="14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Required</w:t>
            </w:r>
          </w:p>
        </w:tc>
        <w:tc>
          <w:tcPr>
            <w:tcW w:type="dxa" w:w="45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Notes / validation</w:t>
            </w:r>
          </w:p>
        </w:tc>
      </w:tr>
      <w:tr>
        <w:trPr>
          <w:tblHeader w:val="false"/>
        </w:trPr>
        <w:tc>
          <w:tcPr>
            <w:tcW w:type="dxa" w:w="3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Full Name (First &amp; Last)</w:t>
            </w:r>
          </w:p>
        </w:tc>
        <w:tc>
          <w:tcPr>
            <w:tcW w:type="dxa" w:w="1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Yes</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Text.</w:t>
            </w:r>
          </w:p>
        </w:tc>
      </w:tr>
      <w:tr>
        <w:trPr>
          <w:tblHeader w:val="false"/>
        </w:trPr>
        <w:tc>
          <w:tcPr>
            <w:tcW w:type="dxa" w:w="3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Agency / Company Name</w:t>
            </w:r>
          </w:p>
        </w:tc>
        <w:tc>
          <w:tcPr>
            <w:tcW w:type="dxa" w:w="1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Yes</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Text.</w:t>
            </w:r>
          </w:p>
        </w:tc>
      </w:tr>
      <w:tr>
        <w:trPr>
          <w:tblHeader w:val="false"/>
        </w:trPr>
        <w:tc>
          <w:tcPr>
            <w:tcW w:type="dxa" w:w="3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Phone (WhatsApp/Telegram)</w:t>
            </w:r>
          </w:p>
        </w:tc>
        <w:tc>
          <w:tcPr>
            <w:tcW w:type="dxa" w:w="1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Yes</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Intl format + country code; note the messenger.</w:t>
            </w:r>
          </w:p>
        </w:tc>
      </w:tr>
      <w:tr>
        <w:trPr>
          <w:tblHeader w:val="false"/>
        </w:trPr>
        <w:tc>
          <w:tcPr>
            <w:tcW w:type="dxa" w:w="3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Email Address</w:t>
            </w:r>
          </w:p>
        </w:tc>
        <w:tc>
          <w:tcPr>
            <w:tcW w:type="dxa" w:w="1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Yes</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Validated; used for acknowledgement.</w:t>
            </w:r>
          </w:p>
        </w:tc>
      </w:tr>
      <w:tr>
        <w:trPr>
          <w:tblHeader w:val="false"/>
        </w:trPr>
        <w:tc>
          <w:tcPr>
            <w:tcW w:type="dxa" w:w="3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Comments / Additional Info</w:t>
            </w:r>
          </w:p>
        </w:tc>
        <w:tc>
          <w:tcPr>
            <w:tcW w:type="dxa" w:w="1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No</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Multi-line text.</w:t>
            </w:r>
          </w:p>
        </w:tc>
      </w:tr>
      <w:tr>
        <w:trPr>
          <w:tblHeader w:val="false"/>
        </w:trPr>
        <w:tc>
          <w:tcPr>
            <w:tcW w:type="dxa" w:w="3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Upload Statistics (2025–2026)</w:t>
            </w:r>
          </w:p>
        </w:tc>
        <w:tc>
          <w:tcPr>
            <w:tcW w:type="dxa" w:w="1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Yes</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PDF/XLS(X)/DOC(X)/JPG/PNG; size cap.</w:t>
            </w:r>
          </w:p>
        </w:tc>
      </w:tr>
      <w:tr>
        <w:trPr>
          <w:tblHeader w:val="false"/>
        </w:trPr>
        <w:tc>
          <w:tcPr>
            <w:tcW w:type="dxa" w:w="3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Upload Business Card</w:t>
            </w:r>
          </w:p>
        </w:tc>
        <w:tc>
          <w:tcPr>
            <w:tcW w:type="dxa" w:w="14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Yes</w:t>
            </w:r>
          </w:p>
        </w:tc>
        <w:tc>
          <w:tcPr>
            <w:tcW w:type="dxa" w:w="45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JPG/PNG/PDF; size cap.</w:t>
            </w:r>
          </w:p>
        </w:tc>
      </w:tr>
      <w:tr>
        <w:trPr>
          <w:tblHeader w:val="false"/>
        </w:trPr>
        <w:tc>
          <w:tcPr>
            <w:tcW w:type="dxa" w:w="3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Consent to data processing</w:t>
            </w:r>
          </w:p>
        </w:tc>
        <w:tc>
          <w:tcPr>
            <w:tcW w:type="dxa" w:w="14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Yes</w:t>
            </w:r>
          </w:p>
        </w:tc>
        <w:tc>
          <w:tcPr>
            <w:tcW w:type="dxa" w:w="45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Checkbox linking to privacy policy.</w:t>
            </w:r>
          </w:p>
        </w:tc>
      </w:tr>
    </w:tbl>
    <w:p>
      <w:pPr>
        <w:spacing w:after="80"/>
      </w:pPr>
    </w:p>
    <w:p>
      <w:pPr>
        <w:spacing w:after="140" w:line="276"/>
      </w:pPr>
      <w:r>
        <w:rPr>
          <w:rFonts w:ascii="Calibri" w:cs="Calibri" w:eastAsia="Calibri" w:hAnsi="Calibri"/>
          <w:color w:val="2B2338"/>
          <w:sz w:val="21"/>
          <w:szCs w:val="21"/>
        </w:rPr>
        <w:t xml:space="preserve">Submission flow: on submit → server validates and stores uploads → notification email with all data + file links sent to the project mailbox (on the new domain) and marketing@coatitravel.ru → branded acknowledgement, sent from the project’s professional domain email, to the applicant → on-page success confirmation.</w:t>
      </w:r>
    </w:p>
    <w:p>
      <w:pPr>
        <w:pStyle w:val="Heading2"/>
        <w:spacing w:after="100" w:before="200"/>
      </w:pPr>
      <w:r>
        <w:rPr>
          <w:rFonts w:ascii="Georgia" w:cs="Georgia" w:eastAsia="Georgia" w:hAnsi="Georgia"/>
          <w:b/>
          <w:bCs/>
          <w:color w:val="6E4FA3"/>
          <w:sz w:val="24"/>
          <w:szCs w:val="24"/>
        </w:rPr>
        <w:t xml:space="preserve">8.2 Per-hotel inquiry / lead form</w:t>
      </w:r>
    </w:p>
    <w:p>
      <w:pPr>
        <w:spacing w:after="140" w:line="276"/>
      </w:pPr>
      <w:r>
        <w:rPr>
          <w:rFonts w:ascii="Calibri" w:cs="Calibri" w:eastAsia="Calibri" w:hAnsi="Calibri"/>
          <w:color w:val="2B2338"/>
          <w:sz w:val="21"/>
          <w:szCs w:val="21"/>
        </w:rPr>
        <w:t xml:space="preserve">A short form on each resort page ("I’m interested — request price/availability"): Full Name, Agency/Company (optional), Email, Phone (WhatsApp/Telegram), Message, and a hidden "which hotel" field auto-filled by the page. All inquiries route to Coati (the project mailbox and marketing@coatitravel.ru), who forward to the relevant hotel — no submissions go directly to hotels.</w:t>
      </w:r>
    </w:p>
    <w:p>
      <w:pPr>
        <w:pStyle w:val="Heading2"/>
        <w:spacing w:after="100" w:before="200"/>
      </w:pPr>
      <w:r>
        <w:rPr>
          <w:rFonts w:ascii="Georgia" w:cs="Georgia" w:eastAsia="Georgia" w:hAnsi="Georgia"/>
          <w:b/>
          <w:bCs/>
          <w:color w:val="6E4FA3"/>
          <w:sz w:val="24"/>
          <w:szCs w:val="24"/>
        </w:rPr>
        <w:t xml:space="preserve">8.3 Hotel partnership request form</w:t>
      </w:r>
    </w:p>
    <w:p>
      <w:pPr>
        <w:spacing w:after="140" w:line="276"/>
      </w:pPr>
      <w:r>
        <w:rPr>
          <w:rFonts w:ascii="Calibri" w:cs="Calibri" w:eastAsia="Calibri" w:hAnsi="Calibri"/>
          <w:color w:val="2B2338"/>
          <w:sz w:val="21"/>
          <w:szCs w:val="21"/>
        </w:rPr>
        <w:t xml:space="preserve">For hotels requesting partnership: Hotel/Company Name, Contact Person, Email, Phone, Website, Message, and a file-upload tab for images/brochures. Routes to Coati (both addresses above); sends an acknowledgement to the sender.</w:t>
      </w:r>
    </w:p>
    <w:p>
      <w:pPr>
        <w:pStyle w:val="Heading2"/>
        <w:spacing w:after="100" w:before="200"/>
      </w:pPr>
      <w:r>
        <w:rPr>
          <w:rFonts w:ascii="Georgia" w:cs="Georgia" w:eastAsia="Georgia" w:hAnsi="Georgia"/>
          <w:b/>
          <w:bCs/>
          <w:color w:val="6E4FA3"/>
          <w:sz w:val="24"/>
          <w:szCs w:val="24"/>
        </w:rPr>
        <w:t xml:space="preserve">8.4 Upload &amp; anti-spam best practices</w:t>
      </w:r>
    </w:p>
    <w:p>
      <w:pPr>
        <w:pStyle w:val="ListParagraph"/>
        <w:numPr>
          <w:ilvl w:val="0"/>
          <w:numId w:val="2"/>
        </w:numPr>
        <w:spacing w:after="90" w:line="264"/>
      </w:pPr>
      <w:r>
        <w:rPr>
          <w:rFonts w:ascii="Calibri" w:cs="Calibri" w:eastAsia="Calibri" w:hAnsi="Calibri"/>
          <w:color w:val="2B2338"/>
          <w:sz w:val="21"/>
          <w:szCs w:val="21"/>
        </w:rPr>
        <w:t xml:space="preserve">Restrict file types (PDF, JPG, PNG, DOCX, XLSX) with a size cap (~10–15 MB); validate on the server, not only the browser.</w:t>
      </w:r>
    </w:p>
    <w:p>
      <w:pPr>
        <w:pStyle w:val="ListParagraph"/>
        <w:numPr>
          <w:ilvl w:val="0"/>
          <w:numId w:val="2"/>
        </w:numPr>
        <w:spacing w:after="90" w:line="264"/>
      </w:pPr>
      <w:r>
        <w:rPr>
          <w:rFonts w:ascii="Calibri" w:cs="Calibri" w:eastAsia="Calibri" w:hAnsi="Calibri"/>
          <w:color w:val="2B2338"/>
          <w:sz w:val="21"/>
          <w:szCs w:val="21"/>
        </w:rPr>
        <w:t xml:space="preserve">Store uploads in a private bucket; share via secure links, not public URLs; sanitize and rename files.</w:t>
      </w:r>
    </w:p>
    <w:p>
      <w:pPr>
        <w:pStyle w:val="ListParagraph"/>
        <w:numPr>
          <w:ilvl w:val="0"/>
          <w:numId w:val="2"/>
        </w:numPr>
        <w:spacing w:after="90" w:line="264"/>
      </w:pPr>
      <w:r>
        <w:rPr>
          <w:rFonts w:ascii="Calibri" w:cs="Calibri" w:eastAsia="Calibri" w:hAnsi="Calibri"/>
          <w:color w:val="2B2338"/>
          <w:sz w:val="21"/>
          <w:szCs w:val="21"/>
        </w:rPr>
        <w:t xml:space="preserve">Spam protection via honeypot + server-side rate limiting. Avoid Cloudflare Turnstile and be cautious with Google reCAPTCHA, which can be unreliable in Russia (Section 10).</w:t>
      </w:r>
    </w:p>
    <w:p>
      <w:pPr>
        <w:pStyle w:val="ListParagraph"/>
        <w:numPr>
          <w:ilvl w:val="0"/>
          <w:numId w:val="2"/>
        </w:numPr>
        <w:spacing w:after="90" w:line="264"/>
      </w:pPr>
      <w:r>
        <w:rPr>
          <w:rFonts w:ascii="Calibri" w:cs="Calibri" w:eastAsia="Calibri" w:hAnsi="Calibri"/>
          <w:color w:val="2B2338"/>
          <w:sz w:val="21"/>
          <w:szCs w:val="21"/>
        </w:rPr>
        <w:t xml:space="preserve">Consent checkbox + privacy policy on every form that collects personal data.</w:t>
      </w:r>
    </w:p>
    <w:p>
      <w:pPr>
        <w:pStyle w:val="Heading2"/>
        <w:spacing w:after="100" w:before="200"/>
      </w:pPr>
      <w:r>
        <w:rPr>
          <w:rFonts w:ascii="Georgia" w:cs="Georgia" w:eastAsia="Georgia" w:hAnsi="Georgia"/>
          <w:b/>
          <w:bCs/>
          <w:color w:val="6E4FA3"/>
          <w:sz w:val="24"/>
          <w:szCs w:val="24"/>
        </w:rPr>
        <w:t xml:space="preserve">8.5 General contact / private-trip inquiry form</w:t>
      </w:r>
    </w:p>
    <w:p>
      <w:pPr>
        <w:spacing w:after="140" w:line="276"/>
      </w:pPr>
      <w:r>
        <w:rPr>
          <w:rFonts w:ascii="Calibri" w:cs="Calibri" w:eastAsia="Calibri" w:hAnsi="Calibri"/>
          <w:color w:val="2B2338"/>
          <w:sz w:val="21"/>
          <w:szCs w:val="21"/>
        </w:rPr>
        <w:t xml:space="preserve">Retained by client request for visitors who are not part of a scheduled tour but wish to make contact or request a private trip. Fields: Full Name, Email, Phone (optional), Inquiry type (General / Private trip / Other), Message, and a consent checkbox. Routes to Coati (project mailbox + marketing@coatitravel.ru) with a branded acknowledgement to the sender.</w:t>
      </w:r>
    </w:p>
    <w:p>
      <w:pPr>
        <w:pStyle w:val="Heading1"/>
        <w:spacing w:after="140" w:before="300"/>
      </w:pPr>
      <w:r>
        <w:rPr>
          <w:rFonts w:ascii="Georgia" w:cs="Georgia" w:eastAsia="Georgia" w:hAnsi="Georgia"/>
          <w:b/>
          <w:bCs/>
          <w:color w:val="3E2C55"/>
          <w:sz w:val="30"/>
          <w:szCs w:val="30"/>
        </w:rPr>
        <w:t xml:space="preserve">9. Back End — Forms &amp; Content Portal</w:t>
      </w:r>
    </w:p>
    <w:p>
      <w:pPr>
        <w:pStyle w:val="Heading2"/>
        <w:spacing w:after="100" w:before="200"/>
      </w:pPr>
      <w:r>
        <w:rPr>
          <w:rFonts w:ascii="Georgia" w:cs="Georgia" w:eastAsia="Georgia" w:hAnsi="Georgia"/>
          <w:b/>
          <w:bCs/>
          <w:color w:val="6E4FA3"/>
          <w:sz w:val="24"/>
          <w:szCs w:val="24"/>
        </w:rPr>
        <w:t xml:space="preserve">9.1 Form back end</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2600"/>
        <w:gridCol w:w="6760"/>
      </w:tblGrid>
      <w:tr>
        <w:trPr>
          <w:tblHeader/>
        </w:trPr>
        <w:tc>
          <w:tcPr>
            <w:tcW w:type="dxa" w:w="26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Component</w:t>
            </w:r>
          </w:p>
        </w:tc>
        <w:tc>
          <w:tcPr>
            <w:tcW w:type="dxa" w:w="67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Recommendation</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Endpoint</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Serverless function (AWS Lambda + API Gateway, or Next.js route handler) that validates, stores files and triggers emails.</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Transactional email</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All outbound mail is sent from the project’s professional domain email on WePresent.org. Internal notifications go to the project mailbox and marketing@coatitravel.ru.</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Deliverability</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Configure SPF, DKIM and DMARC on the domain so mail reaches Yandex/Mail.ru and Gmail inboxes reliably. Domain mailboxes via a business email suite (e.g., Yandex 360) or the host’s mail service.</w:t>
            </w:r>
          </w:p>
        </w:tc>
      </w:tr>
      <w:tr>
        <w:trPr>
          <w:tblHeader w:val="false"/>
        </w:trPr>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File storage</w:t>
            </w:r>
          </w:p>
        </w:tc>
        <w:tc>
          <w:tcPr>
            <w:tcW w:type="dxa" w:w="67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Private S3 bucket; files linked in the internal email; defined retention/deletion policy.</w:t>
            </w:r>
          </w:p>
        </w:tc>
      </w:tr>
      <w:tr>
        <w:trPr>
          <w:tblHeader w:val="false"/>
        </w:trPr>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Running record</w:t>
            </w:r>
          </w:p>
        </w:tc>
        <w:tc>
          <w:tcPr>
            <w:tcW w:type="dxa" w:w="67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Append every submission to a Google Sheet as a durable backup independent of email.</w:t>
            </w:r>
          </w:p>
        </w:tc>
      </w:tr>
    </w:tbl>
    <w:p>
      <w:pPr>
        <w:spacing w:after="80"/>
      </w:pPr>
    </w:p>
    <w:p>
      <w:pPr>
        <w:pStyle w:val="Heading2"/>
        <w:spacing w:after="100" w:before="200"/>
      </w:pPr>
      <w:r>
        <w:rPr>
          <w:rFonts w:ascii="Georgia" w:cs="Georgia" w:eastAsia="Georgia" w:hAnsi="Georgia"/>
          <w:b/>
          <w:bCs/>
          <w:color w:val="6E4FA3"/>
          <w:sz w:val="24"/>
          <w:szCs w:val="24"/>
        </w:rPr>
        <w:t xml:space="preserve">9.2 Content management portal (client self-service)</w:t>
      </w:r>
    </w:p>
    <w:p>
      <w:pPr>
        <w:spacing w:after="140" w:line="276"/>
      </w:pPr>
      <w:r>
        <w:rPr>
          <w:rFonts w:ascii="Calibri" w:cs="Calibri" w:eastAsia="Calibri" w:hAnsi="Calibri"/>
          <w:color w:val="2B2338"/>
          <w:sz w:val="21"/>
          <w:szCs w:val="21"/>
        </w:rPr>
        <w:t xml:space="preserve">A back-end portal so the Coati team can update event content themselves — primarily tour dates and event details — without coming to the developer for routine changes. Implemented as a Git-based CMS (Decap CMS or TinaCMS) layered on the site’s codebase: staff log in through a simple admin URL and edit content in a friendly form-based UI; saving commits the change to the repository, which automatically rebuilds and redeploys the site within minutes.</w:t>
      </w:r>
    </w:p>
    <w:p>
      <w:pPr>
        <w:spacing w:after="140" w:line="276"/>
      </w:pPr>
      <w:r>
        <w:rPr>
          <w:rFonts w:ascii="Calibri" w:cs="Calibri" w:eastAsia="Calibri" w:hAnsi="Calibri"/>
          <w:b/>
          <w:bCs/>
          <w:color w:val="2B2338"/>
          <w:sz w:val="21"/>
          <w:szCs w:val="21"/>
        </w:rPr>
        <w:t xml:space="preserve">Why this approach: </w:t>
      </w:r>
      <w:r>
        <w:rPr>
          <w:rFonts w:ascii="Calibri" w:cs="Calibri" w:eastAsia="Calibri" w:hAnsi="Calibri"/>
          <w:color w:val="2B2338"/>
          <w:sz w:val="21"/>
          <w:szCs w:val="21"/>
        </w:rPr>
        <w:t xml:space="preserve">it adds a real editing portal with logins but keeps the site fast and static, carries no monthly SaaS fee, and fits the AWS hosting and Russia-accessibility constraints (Section 10). Every change is versioned in Git, so edits are auditable and reversible.</w:t>
      </w:r>
    </w:p>
    <w:p>
      <w:pPr>
        <w:spacing w:after="140" w:line="276"/>
      </w:pPr>
      <w:r>
        <w:rPr>
          <w:rFonts w:ascii="Calibri" w:cs="Calibri" w:eastAsia="Calibri" w:hAnsi="Calibri"/>
          <w:color w:val="2B2338"/>
          <w:sz w:val="21"/>
          <w:szCs w:val="21"/>
        </w:rPr>
        <w:t xml:space="preserve">Editable via the portal:</w:t>
      </w:r>
    </w:p>
    <w:p>
      <w:pPr>
        <w:pStyle w:val="ListParagraph"/>
        <w:numPr>
          <w:ilvl w:val="0"/>
          <w:numId w:val="2"/>
        </w:numPr>
        <w:spacing w:after="90" w:line="264"/>
      </w:pPr>
      <w:r>
        <w:rPr>
          <w:rFonts w:ascii="Calibri" w:cs="Calibri" w:eastAsia="Calibri" w:hAnsi="Calibri"/>
          <w:color w:val="2B2338"/>
          <w:sz w:val="21"/>
          <w:szCs w:val="21"/>
        </w:rPr>
        <w:t xml:space="preserve">Tour dates, status labels ("coming soon", "dates coming soon") and calendar entries (add/edit/remove a tour).</w:t>
      </w:r>
    </w:p>
    <w:p>
      <w:pPr>
        <w:pStyle w:val="ListParagraph"/>
        <w:numPr>
          <w:ilvl w:val="0"/>
          <w:numId w:val="2"/>
        </w:numPr>
        <w:spacing w:after="90" w:line="264"/>
      </w:pPr>
      <w:r>
        <w:rPr>
          <w:rFonts w:ascii="Calibri" w:cs="Calibri" w:eastAsia="Calibri" w:hAnsi="Calibri"/>
          <w:color w:val="2B2338"/>
          <w:sz w:val="21"/>
          <w:szCs w:val="21"/>
        </w:rPr>
        <w:t xml:space="preserve">Tour itineraries — stops, resorts, dates and notes.</w:t>
      </w:r>
    </w:p>
    <w:p>
      <w:pPr>
        <w:pStyle w:val="ListParagraph"/>
        <w:numPr>
          <w:ilvl w:val="0"/>
          <w:numId w:val="2"/>
        </w:numPr>
        <w:spacing w:after="90" w:line="264"/>
      </w:pPr>
      <w:r>
        <w:rPr>
          <w:rFonts w:ascii="Calibri" w:cs="Calibri" w:eastAsia="Calibri" w:hAnsi="Calibri"/>
          <w:color w:val="2B2338"/>
          <w:sz w:val="21"/>
          <w:szCs w:val="21"/>
        </w:rPr>
        <w:t xml:space="preserve">Event details — TTM overview text, key dates, descriptions.</w:t>
      </w:r>
    </w:p>
    <w:p>
      <w:pPr>
        <w:pStyle w:val="ListParagraph"/>
        <w:numPr>
          <w:ilvl w:val="0"/>
          <w:numId w:val="2"/>
        </w:numPr>
        <w:spacing w:after="90" w:line="264"/>
      </w:pPr>
      <w:r>
        <w:rPr>
          <w:rFonts w:ascii="Calibri" w:cs="Calibri" w:eastAsia="Calibri" w:hAnsi="Calibri"/>
          <w:color w:val="2B2338"/>
          <w:sz w:val="21"/>
          <w:szCs w:val="21"/>
        </w:rPr>
        <w:t xml:space="preserve">Resort key facts and descriptions, and "How It Was" entries (photos, trip reports, reviews).</w:t>
      </w:r>
    </w:p>
    <w:p>
      <w:pPr>
        <w:pStyle w:val="ListParagraph"/>
        <w:numPr>
          <w:ilvl w:val="0"/>
          <w:numId w:val="2"/>
        </w:numPr>
        <w:spacing w:after="90" w:line="264"/>
      </w:pPr>
      <w:r>
        <w:rPr>
          <w:rFonts w:ascii="Calibri" w:cs="Calibri" w:eastAsia="Calibri" w:hAnsi="Calibri"/>
          <w:color w:val="2B2338"/>
          <w:sz w:val="21"/>
          <w:szCs w:val="21"/>
        </w:rPr>
        <w:t xml:space="preserve">Home-page teasers and CTAs where content-driven.</w:t>
      </w:r>
    </w:p>
    <w:p>
      <w:pPr>
        <w:spacing w:after="140" w:line="276"/>
      </w:pPr>
      <w:r>
        <w:rPr>
          <w:rFonts w:ascii="Calibri" w:cs="Calibri" w:eastAsia="Calibri" w:hAnsi="Calibri"/>
          <w:color w:val="2B2338"/>
          <w:sz w:val="21"/>
          <w:szCs w:val="21"/>
        </w:rPr>
        <w:t xml:space="preserve">Access &amp; workflow:</w:t>
      </w:r>
    </w:p>
    <w:p>
      <w:pPr>
        <w:pStyle w:val="ListParagraph"/>
        <w:numPr>
          <w:ilvl w:val="0"/>
          <w:numId w:val="2"/>
        </w:numPr>
        <w:spacing w:after="90" w:line="264"/>
      </w:pPr>
      <w:r>
        <w:rPr>
          <w:rFonts w:ascii="Calibri" w:cs="Calibri" w:eastAsia="Calibri" w:hAnsi="Calibri"/>
          <w:color w:val="2B2338"/>
          <w:sz w:val="21"/>
          <w:szCs w:val="21"/>
        </w:rPr>
        <w:t xml:space="preserve">Secure login for a small set of named Coati editors (via the CMS’s authentication, e.g., a Git provider account or an identity provider), with least-privilege access.</w:t>
      </w:r>
    </w:p>
    <w:p>
      <w:pPr>
        <w:pStyle w:val="ListParagraph"/>
        <w:numPr>
          <w:ilvl w:val="0"/>
          <w:numId w:val="2"/>
        </w:numPr>
        <w:spacing w:after="90" w:line="264"/>
      </w:pPr>
      <w:r>
        <w:rPr>
          <w:rFonts w:ascii="Calibri" w:cs="Calibri" w:eastAsia="Calibri" w:hAnsi="Calibri"/>
          <w:color w:val="2B2338"/>
          <w:sz w:val="21"/>
          <w:szCs w:val="21"/>
        </w:rPr>
        <w:t xml:space="preserve">Bilingual editing: RU and EN fields side by side so both locales stay in sync.</w:t>
      </w:r>
    </w:p>
    <w:p>
      <w:pPr>
        <w:pStyle w:val="ListParagraph"/>
        <w:numPr>
          <w:ilvl w:val="0"/>
          <w:numId w:val="2"/>
        </w:numPr>
        <w:spacing w:after="90" w:line="264"/>
      </w:pPr>
      <w:r>
        <w:rPr>
          <w:rFonts w:ascii="Calibri" w:cs="Calibri" w:eastAsia="Calibri" w:hAnsi="Calibri"/>
          <w:color w:val="2B2338"/>
          <w:sz w:val="21"/>
          <w:szCs w:val="21"/>
        </w:rPr>
        <w:t xml:space="preserve">Media uploads (images for tours/resorts/How It Was) handled through the CMS into the repo/media store, optimised on build.</w:t>
      </w:r>
    </w:p>
    <w:p>
      <w:pPr>
        <w:pStyle w:val="ListParagraph"/>
        <w:numPr>
          <w:ilvl w:val="0"/>
          <w:numId w:val="2"/>
        </w:numPr>
        <w:spacing w:after="90" w:line="264"/>
      </w:pPr>
      <w:r>
        <w:rPr>
          <w:rFonts w:ascii="Calibri" w:cs="Calibri" w:eastAsia="Calibri" w:hAnsi="Calibri"/>
          <w:color w:val="2B2338"/>
          <w:sz w:val="21"/>
          <w:szCs w:val="21"/>
        </w:rPr>
        <w:t xml:space="preserve">Optional editorial workflow (draft → publish) and preview before going live.</w:t>
      </w:r>
    </w:p>
    <w:p>
      <w:pPr>
        <w:pStyle w:val="ListParagraph"/>
        <w:numPr>
          <w:ilvl w:val="0"/>
          <w:numId w:val="2"/>
        </w:numPr>
        <w:spacing w:after="90" w:line="264"/>
      </w:pPr>
      <w:r>
        <w:rPr>
          <w:rFonts w:ascii="Calibri" w:cs="Calibri" w:eastAsia="Calibri" w:hAnsi="Calibri"/>
          <w:color w:val="2B2338"/>
          <w:sz w:val="21"/>
          <w:szCs w:val="21"/>
        </w:rPr>
        <w:t xml:space="preserve">All changes versioned in Git for audit and one-click rollback; no direct database to manage.</w:t>
      </w:r>
    </w:p>
    <w:p>
      <w:pPr>
        <w:spacing w:after="140" w:line="276"/>
      </w:pPr>
      <w:r>
        <w:rPr>
          <w:rFonts w:ascii="Calibri" w:cs="Calibri" w:eastAsia="Calibri" w:hAnsi="Calibri"/>
          <w:b/>
          <w:bCs/>
          <w:color w:val="2B2338"/>
          <w:sz w:val="21"/>
          <w:szCs w:val="21"/>
        </w:rPr>
        <w:t xml:space="preserve">Note: </w:t>
      </w:r>
      <w:r>
        <w:rPr>
          <w:rFonts w:ascii="Calibri" w:cs="Calibri" w:eastAsia="Calibri" w:hAnsi="Calibri"/>
          <w:color w:val="2B2338"/>
          <w:sz w:val="21"/>
          <w:szCs w:val="21"/>
        </w:rPr>
        <w:t xml:space="preserve">the portal covers content the client wants to self-manage (tours, dates, event details, How It Was). Structural/design changes and new page types remain a developer task. This keeps day-to-day updates in the client’s hands while protecting the site’s integrity.</w:t>
      </w:r>
    </w:p>
    <w:p>
      <w:pPr>
        <w:pStyle w:val="Heading1"/>
        <w:spacing w:after="140" w:before="300"/>
      </w:pPr>
      <w:r>
        <w:rPr>
          <w:rFonts w:ascii="Georgia" w:cs="Georgia" w:eastAsia="Georgia" w:hAnsi="Georgia"/>
          <w:b/>
          <w:bCs/>
          <w:color w:val="3E2C55"/>
          <w:sz w:val="30"/>
          <w:szCs w:val="30"/>
        </w:rPr>
        <w:t xml:space="preserve">10. Hosting, Domain &amp; Russian Accessibility</w:t>
      </w:r>
    </w:p>
    <w:p>
      <w:pPr>
        <w:spacing w:after="140" w:line="276"/>
      </w:pPr>
      <w:r>
        <w:rPr>
          <w:rFonts w:ascii="Calibri" w:cs="Calibri" w:eastAsia="Calibri" w:hAnsi="Calibri"/>
          <w:color w:val="2B2338"/>
          <w:sz w:val="21"/>
          <w:szCs w:val="21"/>
        </w:rPr>
        <w:t xml:space="preserve">Because the primary audience is in Russia, the decisive requirement is that Russian users can reach the site without a VPN. Where the server sits matters less than two things: (a) not accidentally blocking Russia, and (b) not sitting on infrastructure Russia is actively throttling.</w:t>
      </w:r>
    </w:p>
    <w:p>
      <w:pPr>
        <w:pStyle w:val="Heading2"/>
        <w:spacing w:after="100" w:before="200"/>
      </w:pPr>
      <w:r>
        <w:rPr>
          <w:rFonts w:ascii="Georgia" w:cs="Georgia" w:eastAsia="Georgia" w:hAnsi="Georgia"/>
          <w:b/>
          <w:bCs/>
          <w:color w:val="6E4FA3"/>
          <w:sz w:val="24"/>
          <w:szCs w:val="24"/>
        </w:rPr>
        <w:t xml:space="preserve">10.1 Avoid Cloudflare</w:t>
      </w:r>
    </w:p>
    <w:p>
      <w:pPr>
        <w:spacing w:after="140" w:line="276"/>
      </w:pPr>
      <w:r>
        <w:rPr>
          <w:rFonts w:ascii="Calibri" w:cs="Calibri" w:eastAsia="Calibri" w:hAnsi="Calibri"/>
          <w:color w:val="2B2338"/>
          <w:sz w:val="21"/>
          <w:szCs w:val="21"/>
        </w:rPr>
        <w:t xml:space="preserve">Russia’s regulator is throttling Cloudflare-protected traffic to the point most such sites are unusable from Russia without a VPN. Do not use Cloudflare anywhere: not as CDN, DNS, or captcha (Turnstile). This single decision removes the most common failure mode.</w:t>
      </w:r>
    </w:p>
    <w:p>
      <w:pPr>
        <w:pStyle w:val="Heading2"/>
        <w:spacing w:after="100" w:before="200"/>
      </w:pPr>
      <w:r>
        <w:rPr>
          <w:rFonts w:ascii="Georgia" w:cs="Georgia" w:eastAsia="Georgia" w:hAnsi="Georgia"/>
          <w:b/>
          <w:bCs/>
          <w:color w:val="6E4FA3"/>
          <w:sz w:val="24"/>
          <w:szCs w:val="24"/>
        </w:rPr>
        <w:t xml:space="preserve">10.2 Hosting on AWS</w:t>
      </w:r>
    </w:p>
    <w:p>
      <w:pPr>
        <w:spacing w:after="140" w:line="276"/>
      </w:pPr>
      <w:r>
        <w:rPr>
          <w:rFonts w:ascii="Calibri" w:cs="Calibri" w:eastAsia="Calibri" w:hAnsi="Calibri"/>
          <w:color w:val="2B2338"/>
          <w:sz w:val="21"/>
          <w:szCs w:val="21"/>
        </w:rPr>
        <w:t xml:space="preserve">AWS is the selected host (client confirmed), subject to the reachability test in 10.4; a CIS-adjacent host (10.3) is retained as the fallback if that test fails.</w:t>
      </w:r>
    </w:p>
    <w:p>
      <w:pPr>
        <w:pStyle w:val="ListParagraph"/>
        <w:numPr>
          <w:ilvl w:val="0"/>
          <w:numId w:val="2"/>
        </w:numPr>
        <w:spacing w:after="90" w:line="264"/>
      </w:pPr>
      <w:r>
        <w:rPr>
          <w:rFonts w:ascii="Calibri" w:cs="Calibri" w:eastAsia="Calibri" w:hAnsi="Calibri"/>
          <w:color w:val="2B2338"/>
          <w:sz w:val="21"/>
          <w:szCs w:val="21"/>
        </w:rPr>
        <w:t xml:space="preserve">Account eligibility: AWS does not accept accounts based in Russia/Belarus. The account must NOT be registered under Coati’s Russian entity — register it under the developer or a non-Russian entity, with a non-Russian payment method.</w:t>
      </w:r>
    </w:p>
    <w:p>
      <w:pPr>
        <w:pStyle w:val="ListParagraph"/>
        <w:numPr>
          <w:ilvl w:val="0"/>
          <w:numId w:val="2"/>
        </w:numPr>
        <w:spacing w:after="90" w:line="264"/>
      </w:pPr>
      <w:r>
        <w:rPr>
          <w:rFonts w:ascii="Calibri" w:cs="Calibri" w:eastAsia="Calibri" w:hAnsi="Calibri"/>
          <w:color w:val="2B2338"/>
          <w:sz w:val="21"/>
          <w:szCs w:val="21"/>
        </w:rPr>
        <w:t xml:space="preserve">Do not enable any Russia geo-restriction on CloudFront/WAF.</w:t>
      </w:r>
    </w:p>
    <w:p>
      <w:pPr>
        <w:pStyle w:val="ListParagraph"/>
        <w:numPr>
          <w:ilvl w:val="0"/>
          <w:numId w:val="2"/>
        </w:numPr>
        <w:spacing w:after="90" w:line="264"/>
      </w:pPr>
      <w:r>
        <w:rPr>
          <w:rFonts w:ascii="Calibri" w:cs="Calibri" w:eastAsia="Calibri" w:hAnsi="Calibri"/>
          <w:color w:val="2B2338"/>
          <w:sz w:val="21"/>
          <w:szCs w:val="21"/>
        </w:rPr>
        <w:t xml:space="preserve">Region: choose one close for latency — Frankfurt (eu-central-1) or UAE (me-central-1).</w:t>
      </w:r>
    </w:p>
    <w:p>
      <w:pPr>
        <w:pStyle w:val="ListParagraph"/>
        <w:numPr>
          <w:ilvl w:val="0"/>
          <w:numId w:val="2"/>
        </w:numPr>
        <w:spacing w:after="90" w:line="264"/>
      </w:pPr>
      <w:r>
        <w:rPr>
          <w:rFonts w:ascii="Calibri" w:cs="Calibri" w:eastAsia="Calibri" w:hAnsi="Calibri"/>
          <w:color w:val="2B2338"/>
          <w:sz w:val="21"/>
          <w:szCs w:val="21"/>
        </w:rPr>
        <w:t xml:space="preserve">Stack: static site on S3 + CloudFront; DNS on Route 53 (not Cloudflare); Lambda + API Gateway for forms; the Git-based CMS commits to the repo and triggers redeploys; SES for email; private S3 for uploads.</w:t>
      </w:r>
    </w:p>
    <w:p>
      <w:pPr>
        <w:pStyle w:val="Heading2"/>
        <w:spacing w:after="100" w:before="200"/>
      </w:pPr>
      <w:r>
        <w:rPr>
          <w:rFonts w:ascii="Georgia" w:cs="Georgia" w:eastAsia="Georgia" w:hAnsi="Georgia"/>
          <w:b/>
          <w:bCs/>
          <w:color w:val="6E4FA3"/>
          <w:sz w:val="24"/>
          <w:szCs w:val="24"/>
        </w:rPr>
        <w:t xml:space="preserve">10.3 Alternative: CIS-adjacent hosting</w:t>
      </w:r>
    </w:p>
    <w:p>
      <w:pPr>
        <w:spacing w:after="140" w:line="276"/>
      </w:pPr>
      <w:r>
        <w:rPr>
          <w:rFonts w:ascii="Calibri" w:cs="Calibri" w:eastAsia="Calibri" w:hAnsi="Calibri"/>
          <w:color w:val="2B2338"/>
          <w:sz w:val="21"/>
          <w:szCs w:val="21"/>
        </w:rPr>
        <w:t xml:space="preserve">A host in a non-sanctioned, CIS-adjacent country (UAE, Kazakhstan or Armenia) is often the most reliably reachable from Russia. Worth pricing against AWS.</w:t>
      </w:r>
    </w:p>
    <w:p>
      <w:pPr>
        <w:pStyle w:val="Heading2"/>
        <w:spacing w:after="100" w:before="200"/>
      </w:pPr>
      <w:r>
        <w:rPr>
          <w:rFonts w:ascii="Georgia" w:cs="Georgia" w:eastAsia="Georgia" w:hAnsi="Georgia"/>
          <w:b/>
          <w:bCs/>
          <w:color w:val="6E4FA3"/>
          <w:sz w:val="24"/>
          <w:szCs w:val="24"/>
        </w:rPr>
        <w:t xml:space="preserve">10.4 Decisive validation — test from Russia</w:t>
      </w:r>
    </w:p>
    <w:p>
      <w:pPr>
        <w:spacing w:after="140" w:line="276"/>
      </w:pPr>
      <w:r>
        <w:rPr>
          <w:rFonts w:ascii="Calibri" w:cs="Calibri" w:eastAsia="Calibri" w:hAnsi="Calibri"/>
          <w:color w:val="2B2338"/>
          <w:sz w:val="21"/>
          <w:szCs w:val="21"/>
        </w:rPr>
        <w:t xml:space="preserve">Before committing to any host, test the candidate URL from a real Russian connection with no VPN (Coati team’s own connection, or a Russia-based site checker). Choose whatever loads cleanly.</w:t>
      </w:r>
    </w:p>
    <w:p>
      <w:pPr>
        <w:pStyle w:val="Heading2"/>
        <w:spacing w:after="100" w:before="200"/>
      </w:pPr>
      <w:r>
        <w:rPr>
          <w:rFonts w:ascii="Georgia" w:cs="Georgia" w:eastAsia="Georgia" w:hAnsi="Georgia"/>
          <w:b/>
          <w:bCs/>
          <w:color w:val="6E4FA3"/>
          <w:sz w:val="24"/>
          <w:szCs w:val="24"/>
        </w:rPr>
        <w:t xml:space="preserve">10.5 Domain</w:t>
      </w:r>
    </w:p>
    <w:p>
      <w:pPr>
        <w:pStyle w:val="ListParagraph"/>
        <w:numPr>
          <w:ilvl w:val="0"/>
          <w:numId w:val="2"/>
        </w:numPr>
        <w:spacing w:after="90" w:line="264"/>
      </w:pPr>
      <w:r>
        <w:rPr>
          <w:rFonts w:ascii="Calibri" w:cs="Calibri" w:eastAsia="Calibri" w:hAnsi="Calibri"/>
          <w:color w:val="2B2338"/>
          <w:sz w:val="21"/>
          <w:szCs w:val="21"/>
        </w:rPr>
        <w:t xml:space="preserve">WePresent.org is purchased and owned (registration complete). The printed collateral already shows wepresent.org.</w:t>
      </w:r>
    </w:p>
    <w:p>
      <w:pPr>
        <w:pStyle w:val="ListParagraph"/>
        <w:numPr>
          <w:ilvl w:val="0"/>
          <w:numId w:val="2"/>
        </w:numPr>
        <w:spacing w:after="90" w:line="264"/>
      </w:pPr>
      <w:r>
        <w:rPr>
          <w:rFonts w:ascii="Calibri" w:cs="Calibri" w:eastAsia="Calibri" w:hAnsi="Calibri"/>
          <w:color w:val="2B2338"/>
          <w:sz w:val="21"/>
          <w:szCs w:val="21"/>
        </w:rPr>
        <w:t xml:space="preserve">Remaining domain work: point DNS to the host (AWS Route 53, not Cloudflare); issue SSL; confirm the registrar account owner (ideally the agency / KZ branch, not a personal account).</w:t>
      </w:r>
    </w:p>
    <w:p>
      <w:pPr>
        <w:pStyle w:val="ListParagraph"/>
        <w:numPr>
          <w:ilvl w:val="0"/>
          <w:numId w:val="2"/>
        </w:numPr>
        <w:spacing w:after="90" w:line="264"/>
      </w:pPr>
      <w:r>
        <w:rPr>
          <w:rFonts w:ascii="Calibri" w:cs="Calibri" w:eastAsia="Calibri" w:hAnsi="Calibri"/>
          <w:color w:val="2B2338"/>
          <w:sz w:val="21"/>
          <w:szCs w:val="21"/>
        </w:rPr>
        <w:t xml:space="preserve">Provision professional email on the domain (e.g., via Yandex 360 or the host’s mail service) for all site email, with SPF/DKIM/DMARC.</w:t>
      </w:r>
    </w:p>
    <w:p>
      <w:pPr>
        <w:pStyle w:val="ListParagraph"/>
        <w:numPr>
          <w:ilvl w:val="0"/>
          <w:numId w:val="2"/>
        </w:numPr>
        <w:spacing w:after="90" w:line="264"/>
      </w:pPr>
      <w:r>
        <w:rPr>
          <w:rFonts w:ascii="Calibri" w:cs="Calibri" w:eastAsia="Calibri" w:hAnsi="Calibri"/>
          <w:color w:val="2B2338"/>
          <w:sz w:val="21"/>
          <w:szCs w:val="21"/>
        </w:rPr>
        <w:t xml:space="preserve">Allow time for DNS propagation and SSL issuance.</w:t>
      </w:r>
    </w:p>
    <w:p>
      <w:pPr>
        <w:pStyle w:val="Heading1"/>
        <w:spacing w:after="140" w:before="300"/>
      </w:pPr>
      <w:r>
        <w:rPr>
          <w:rFonts w:ascii="Georgia" w:cs="Georgia" w:eastAsia="Georgia" w:hAnsi="Georgia"/>
          <w:b/>
          <w:bCs/>
          <w:color w:val="3E2C55"/>
          <w:sz w:val="30"/>
          <w:szCs w:val="30"/>
        </w:rPr>
        <w:t xml:space="preserve">11. Performance, SEO &amp; Analytics</w:t>
      </w:r>
    </w:p>
    <w:p>
      <w:pPr>
        <w:pStyle w:val="ListParagraph"/>
        <w:numPr>
          <w:ilvl w:val="0"/>
          <w:numId w:val="2"/>
        </w:numPr>
        <w:spacing w:after="90" w:line="264"/>
      </w:pPr>
      <w:r>
        <w:rPr>
          <w:rFonts w:ascii="Calibri" w:cs="Calibri" w:eastAsia="Calibri" w:hAnsi="Calibri"/>
          <w:color w:val="2B2338"/>
          <w:sz w:val="21"/>
          <w:szCs w:val="21"/>
        </w:rPr>
        <w:t xml:space="preserve">Performance budget for heavy imagery: responsive next-gen images, lazy-loading, preloaded hero, optimized video streaming.</w:t>
      </w:r>
    </w:p>
    <w:p>
      <w:pPr>
        <w:pStyle w:val="ListParagraph"/>
        <w:numPr>
          <w:ilvl w:val="0"/>
          <w:numId w:val="2"/>
        </w:numPr>
        <w:spacing w:after="90" w:line="264"/>
      </w:pPr>
      <w:r>
        <w:rPr>
          <w:rFonts w:ascii="Calibri" w:cs="Calibri" w:eastAsia="Calibri" w:hAnsi="Calibri"/>
          <w:color w:val="2B2338"/>
          <w:sz w:val="21"/>
          <w:szCs w:val="21"/>
        </w:rPr>
        <w:t xml:space="preserve">SEO: static HTML, per-locale meta, hreflang, sitemap.xml, robots.txt, Open Graph/Twitter cards.</w:t>
      </w:r>
    </w:p>
    <w:p>
      <w:pPr>
        <w:pStyle w:val="ListParagraph"/>
        <w:numPr>
          <w:ilvl w:val="0"/>
          <w:numId w:val="2"/>
        </w:numPr>
        <w:spacing w:after="90" w:line="264"/>
      </w:pPr>
      <w:r>
        <w:rPr>
          <w:rFonts w:ascii="Calibri" w:cs="Calibri" w:eastAsia="Calibri" w:hAnsi="Calibri"/>
          <w:color w:val="2B2338"/>
          <w:sz w:val="21"/>
          <w:szCs w:val="21"/>
        </w:rPr>
        <w:t xml:space="preserve">Analytics: Yandex.Metrica (for Russian-audience insight) together with Google Analytics. Track form submissions as events.</w:t>
      </w:r>
    </w:p>
    <w:p>
      <w:pPr>
        <w:pStyle w:val="ListParagraph"/>
        <w:numPr>
          <w:ilvl w:val="0"/>
          <w:numId w:val="2"/>
        </w:numPr>
        <w:spacing w:after="90" w:line="264"/>
      </w:pPr>
      <w:r>
        <w:rPr>
          <w:rFonts w:ascii="Calibri" w:cs="Calibri" w:eastAsia="Calibri" w:hAnsi="Calibri"/>
          <w:color w:val="2B2338"/>
          <w:sz w:val="21"/>
          <w:szCs w:val="21"/>
        </w:rPr>
        <w:t xml:space="preserve">Accessibility: aim for WCAG 2.1 AA — note the pastel palette’s contrast rules (Section 4.1). Responsive, mobile-first.</w:t>
      </w:r>
    </w:p>
    <w:p>
      <w:pPr>
        <w:pStyle w:val="Heading1"/>
        <w:spacing w:after="140" w:before="300"/>
      </w:pPr>
      <w:r>
        <w:rPr>
          <w:rFonts w:ascii="Georgia" w:cs="Georgia" w:eastAsia="Georgia" w:hAnsi="Georgia"/>
          <w:b/>
          <w:bCs/>
          <w:color w:val="3E2C55"/>
          <w:sz w:val="30"/>
          <w:szCs w:val="30"/>
        </w:rPr>
        <w:t xml:space="preserve">12. Security, Privacy &amp; Compliance</w:t>
      </w:r>
    </w:p>
    <w:p>
      <w:pPr>
        <w:pStyle w:val="ListParagraph"/>
        <w:numPr>
          <w:ilvl w:val="0"/>
          <w:numId w:val="2"/>
        </w:numPr>
        <w:spacing w:after="90" w:line="264"/>
      </w:pPr>
      <w:r>
        <w:rPr>
          <w:rFonts w:ascii="Calibri" w:cs="Calibri" w:eastAsia="Calibri" w:hAnsi="Calibri"/>
          <w:color w:val="2B2338"/>
          <w:sz w:val="21"/>
          <w:szCs w:val="21"/>
        </w:rPr>
        <w:t xml:space="preserve">HTTPS everywhere; security headers (CSP, HSTS); secrets in environment variables.</w:t>
      </w:r>
    </w:p>
    <w:p>
      <w:pPr>
        <w:pStyle w:val="ListParagraph"/>
        <w:numPr>
          <w:ilvl w:val="0"/>
          <w:numId w:val="2"/>
        </w:numPr>
        <w:spacing w:after="90" w:line="264"/>
      </w:pPr>
      <w:r>
        <w:rPr>
          <w:rFonts w:ascii="Calibri" w:cs="Calibri" w:eastAsia="Calibri" w:hAnsi="Calibri"/>
          <w:color w:val="2B2338"/>
          <w:sz w:val="21"/>
          <w:szCs w:val="21"/>
        </w:rPr>
        <w:t xml:space="preserve">Content portal: secure login for a small set of named editors (least privilege); the CMS admin is protected and not publicly writable; all changes versioned in Git for audit and rollback.</w:t>
      </w:r>
    </w:p>
    <w:p>
      <w:pPr>
        <w:pStyle w:val="ListParagraph"/>
        <w:numPr>
          <w:ilvl w:val="0"/>
          <w:numId w:val="2"/>
        </w:numPr>
        <w:spacing w:after="90" w:line="264"/>
      </w:pPr>
      <w:r>
        <w:rPr>
          <w:rFonts w:ascii="Calibri" w:cs="Calibri" w:eastAsia="Calibri" w:hAnsi="Calibri"/>
          <w:color w:val="2B2338"/>
          <w:sz w:val="21"/>
          <w:szCs w:val="21"/>
        </w:rPr>
        <w:t xml:space="preserve">Explicit consent checkbox linking to a privacy policy (what is collected, why, who receives it, retention) on every form.</w:t>
      </w:r>
    </w:p>
    <w:p>
      <w:pPr>
        <w:pStyle w:val="ListParagraph"/>
        <w:numPr>
          <w:ilvl w:val="0"/>
          <w:numId w:val="2"/>
        </w:numPr>
        <w:spacing w:after="90" w:line="264"/>
      </w:pPr>
      <w:r>
        <w:rPr>
          <w:rFonts w:ascii="Calibri" w:cs="Calibri" w:eastAsia="Calibri" w:hAnsi="Calibri"/>
          <w:color w:val="2B2338"/>
          <w:sz w:val="21"/>
          <w:szCs w:val="21"/>
        </w:rPr>
        <w:t xml:space="preserve">Uploaded files stored with restricted access and a defined retention/deletion policy.</w:t>
      </w:r>
    </w:p>
    <w:p>
      <w:pPr>
        <w:pStyle w:val="ListParagraph"/>
        <w:numPr>
          <w:ilvl w:val="0"/>
          <w:numId w:val="2"/>
        </w:numPr>
        <w:spacing w:after="90" w:line="264"/>
      </w:pPr>
      <w:r>
        <w:rPr>
          <w:rFonts w:ascii="Calibri" w:cs="Calibri" w:eastAsia="Calibri" w:hAnsi="Calibri"/>
          <w:color w:val="2B2338"/>
          <w:sz w:val="21"/>
          <w:szCs w:val="21"/>
        </w:rPr>
        <w:t xml:space="preserve">Cookie/consent notice for analytics.</w:t>
      </w:r>
    </w:p>
    <w:p>
      <w:pPr>
        <w:spacing w:after="140" w:line="276"/>
      </w:pPr>
      <w:r>
        <w:rPr>
          <w:rFonts w:ascii="Calibri" w:cs="Calibri" w:eastAsia="Calibri" w:hAnsi="Calibri"/>
          <w:color w:val="2B2338"/>
          <w:sz w:val="21"/>
          <w:szCs w:val="21"/>
        </w:rPr>
        <w:t xml:space="preserve">Note: hosting outside Russia and sanctions exposure are legal/compliance matters. This is general guidance, not legal advice — Coati should confirm its position with a qualified advisor.</w:t>
      </w:r>
    </w:p>
    <w:p>
      <w:pPr>
        <w:pStyle w:val="Heading1"/>
        <w:spacing w:after="140" w:before="300"/>
      </w:pPr>
      <w:r>
        <w:rPr>
          <w:rFonts w:ascii="Georgia" w:cs="Georgia" w:eastAsia="Georgia" w:hAnsi="Georgia"/>
          <w:b/>
          <w:bCs/>
          <w:color w:val="3E2C55"/>
          <w:sz w:val="30"/>
          <w:szCs w:val="30"/>
        </w:rPr>
        <w:t xml:space="preserve">13. Timeline &amp; Milestones</w:t>
      </w:r>
    </w:p>
    <w:p>
      <w:pPr>
        <w:spacing w:after="140" w:line="276"/>
      </w:pPr>
      <w:r>
        <w:rPr>
          <w:rFonts w:ascii="Calibri" w:cs="Calibri" w:eastAsia="Calibri" w:hAnsi="Calibri"/>
          <w:color w:val="2B2338"/>
          <w:sz w:val="21"/>
          <w:szCs w:val="21"/>
        </w:rPr>
        <w:t xml:space="preserve">The added scope in v1.7 — the content portal, a second tour, the Tours Calendar, the "How It Was" section and the palette revision — extends the build modestly. The practical deadline is ahead of the first tour (17 August 2026); the Oman tour and later editions can be added through the portal as their details are confirmed. Asset readiness (photos, video, copy, logos) remains the gating factor, not the coding.</w:t>
      </w:r>
    </w:p>
    <w:tbl>
      <w:tblPr>
        <w:tblW w:type="dxa" w:w="9360"/>
        <w:tblBorders>
          <w:top w:val="single" w:color="D9D4E0" w:sz="2"/>
          <w:left w:val="single" w:color="D9D4E0" w:sz="2"/>
          <w:bottom w:val="single" w:color="D9D4E0" w:sz="2"/>
          <w:right w:val="single" w:color="D9D4E0" w:sz="2"/>
          <w:insideH w:val="single" w:color="D9D4E0" w:sz="2"/>
          <w:insideV w:val="single" w:color="D9D4E0" w:sz="2"/>
        </w:tblBorders>
      </w:tblPr>
      <w:tblGrid>
        <w:gridCol w:w="700"/>
        <w:gridCol w:w="2600"/>
        <w:gridCol w:w="6060"/>
      </w:tblGrid>
      <w:tr>
        <w:trPr>
          <w:tblHeader/>
        </w:trPr>
        <w:tc>
          <w:tcPr>
            <w:tcW w:type="dxa" w:w="7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w:t>
            </w:r>
          </w:p>
        </w:tc>
        <w:tc>
          <w:tcPr>
            <w:tcW w:type="dxa" w:w="260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Phase</w:t>
            </w:r>
          </w:p>
        </w:tc>
        <w:tc>
          <w:tcPr>
            <w:tcW w:type="dxa" w:w="6060"/>
            <w:shd w:fill="6E4FA3" w:color="auto" w:val="clear"/>
            <w:tcMar>
              <w:top w:type="dxa" w:w="60"/>
              <w:left w:type="dxa" w:w="110"/>
              <w:bottom w:type="dxa" w:w="60"/>
              <w:right w:type="dxa" w:w="110"/>
            </w:tcMar>
          </w:tcPr>
          <w:p>
            <w:pPr>
              <w:spacing w:after="40" w:line="252"/>
            </w:pPr>
            <w:r>
              <w:rPr>
                <w:rFonts w:ascii="Calibri" w:cs="Calibri" w:eastAsia="Calibri" w:hAnsi="Calibri"/>
                <w:b/>
                <w:bCs/>
                <w:color w:val="FFFFFF"/>
                <w:sz w:val="19"/>
                <w:szCs w:val="19"/>
              </w:rPr>
              <w:t xml:space="preserve">Key activities</w:t>
            </w:r>
          </w:p>
        </w:tc>
      </w:tr>
      <w:tr>
        <w:trPr>
          <w:tblHeader w:val="false"/>
        </w:trPr>
        <w:tc>
          <w:tcPr>
            <w:tcW w:type="dxa" w:w="7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1</w:t>
            </w:r>
          </w:p>
        </w:tc>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Setup &amp; assets</w:t>
            </w:r>
          </w:p>
        </w:tc>
        <w:tc>
          <w:tcPr>
            <w:tcW w:type="dxa" w:w="60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Confirm Section 14 items; set up DNS/email on the purchased domain; open non-Russian AWS account; collect resort/partner assets.</w:t>
            </w:r>
          </w:p>
        </w:tc>
      </w:tr>
      <w:tr>
        <w:trPr>
          <w:tblHeader w:val="false"/>
        </w:trPr>
        <w:tc>
          <w:tcPr>
            <w:tcW w:type="dxa" w:w="7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2</w:t>
            </w:r>
          </w:p>
        </w:tc>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Design &amp; build</w:t>
            </w:r>
          </w:p>
        </w:tc>
        <w:tc>
          <w:tcPr>
            <w:tcW w:type="dxa" w:w="60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Pastel visual direction; home, tours calendar, tour details, resort pages, partners, How It Was; bilingual content; animations; responsive.</w:t>
            </w:r>
          </w:p>
        </w:tc>
      </w:tr>
      <w:tr>
        <w:trPr>
          <w:tblHeader w:val="false"/>
        </w:trPr>
        <w:tc>
          <w:tcPr>
            <w:tcW w:type="dxa" w:w="7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3</w:t>
            </w:r>
          </w:p>
        </w:tc>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Forms &amp; content portal</w:t>
            </w:r>
          </w:p>
        </w:tc>
        <w:tc>
          <w:tcPr>
            <w:tcW w:type="dxa" w:w="60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Registration, per-hotel inquiry, partnership and contact forms; uploads; email routing + acknowledgement; anti-spam; Git-based CMS with editor logins.</w:t>
            </w:r>
          </w:p>
        </w:tc>
      </w:tr>
      <w:tr>
        <w:trPr>
          <w:tblHeader w:val="false"/>
        </w:trPr>
        <w:tc>
          <w:tcPr>
            <w:tcW w:type="dxa" w:w="7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4</w:t>
            </w:r>
          </w:p>
        </w:tc>
        <w:tc>
          <w:tcPr>
            <w:tcW w:type="dxa" w:w="260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QA &amp; Russia test</w:t>
            </w:r>
          </w:p>
        </w:tc>
        <w:tc>
          <w:tcPr>
            <w:tcW w:type="dxa" w:w="6060"/>
            <w:shd w:fill="F3ECFB"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Cross-browser/device; accessibility; email deliverability; reachability test from Russia (Section 10.4); portal edit/publish test with the Coati team.</w:t>
            </w:r>
          </w:p>
        </w:tc>
      </w:tr>
      <w:tr>
        <w:trPr>
          <w:tblHeader w:val="false"/>
        </w:trPr>
        <w:tc>
          <w:tcPr>
            <w:tcW w:type="dxa" w:w="7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5</w:t>
            </w:r>
          </w:p>
        </w:tc>
        <w:tc>
          <w:tcPr>
            <w:tcW w:type="dxa" w:w="260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Launch</w:t>
            </w:r>
          </w:p>
        </w:tc>
        <w:tc>
          <w:tcPr>
            <w:tcW w:type="dxa" w:w="6060"/>
            <w:shd w:fill="FFFFFF" w:color="auto" w:val="clear"/>
            <w:tcMar>
              <w:top w:type="dxa" w:w="60"/>
              <w:left w:type="dxa" w:w="110"/>
              <w:bottom w:type="dxa" w:w="60"/>
              <w:right w:type="dxa" w:w="110"/>
            </w:tcMar>
          </w:tcPr>
          <w:p>
            <w:pPr>
              <w:spacing w:after="40" w:line="252"/>
            </w:pPr>
            <w:r>
              <w:rPr>
                <w:rFonts w:ascii="Calibri" w:cs="Calibri" w:eastAsia="Calibri" w:hAnsi="Calibri"/>
                <w:b w:val="false"/>
                <w:bCs w:val="false"/>
                <w:color w:val="2B2338"/>
                <w:sz w:val="19"/>
                <w:szCs w:val="19"/>
              </w:rPr>
              <w:t xml:space="preserve">DNS + email auth (SPF/DKIM/DMARC); analytics; go-live ahead of the first tour.</w:t>
            </w:r>
          </w:p>
        </w:tc>
      </w:tr>
    </w:tbl>
    <w:p>
      <w:pPr>
        <w:pStyle w:val="Heading1"/>
        <w:spacing w:after="140" w:before="300"/>
      </w:pPr>
      <w:r>
        <w:rPr>
          <w:rFonts w:ascii="Georgia" w:cs="Georgia" w:eastAsia="Georgia" w:hAnsi="Georgia"/>
          <w:b/>
          <w:bCs/>
          <w:color w:val="3E2C55"/>
          <w:sz w:val="30"/>
          <w:szCs w:val="30"/>
        </w:rPr>
        <w:t xml:space="preserve">14. Open Items — Remaining Decisions</w:t>
      </w:r>
    </w:p>
    <w:p>
      <w:pPr>
        <w:spacing w:after="140" w:line="276"/>
      </w:pPr>
      <w:r>
        <w:rPr>
          <w:rFonts w:ascii="Calibri" w:cs="Calibri" w:eastAsia="Calibri" w:hAnsi="Calibri"/>
          <w:color w:val="2B2338"/>
          <w:sz w:val="21"/>
          <w:szCs w:val="21"/>
        </w:rPr>
        <w:t xml:space="preserve">Domain is now purchased and hosting is chosen (AWS). The following validation/setup and content tasks remain:</w:t>
      </w:r>
    </w:p>
    <w:p>
      <w:pPr>
        <w:pStyle w:val="ListParagraph"/>
        <w:numPr>
          <w:ilvl w:val="0"/>
          <w:numId w:val="2"/>
        </w:numPr>
        <w:spacing w:after="90" w:line="264"/>
      </w:pPr>
      <w:r>
        <w:rPr>
          <w:rFonts w:ascii="Calibri" w:cs="Calibri" w:eastAsia="Calibri" w:hAnsi="Calibri"/>
          <w:color w:val="2B2338"/>
          <w:sz w:val="21"/>
          <w:szCs w:val="21"/>
        </w:rPr>
        <w:t xml:space="preserve">Confirm Tour 2 revised details: exact per-resort nights and whether the Madifushi stop remains within the 28 Aug – 3 Sep window (Section 3.3).</w:t>
      </w:r>
    </w:p>
    <w:p>
      <w:pPr>
        <w:pStyle w:val="ListParagraph"/>
        <w:numPr>
          <w:ilvl w:val="0"/>
          <w:numId w:val="2"/>
        </w:numPr>
        <w:spacing w:after="90" w:line="264"/>
      </w:pPr>
      <w:r>
        <w:rPr>
          <w:rFonts w:ascii="Calibri" w:cs="Calibri" w:eastAsia="Calibri" w:hAnsi="Calibri"/>
          <w:color w:val="2B2338"/>
          <w:sz w:val="21"/>
          <w:szCs w:val="21"/>
        </w:rPr>
        <w:t xml:space="preserve">Provide the Oman (December 2026) dates and resort line-up when set — addable via the portal.</w:t>
      </w:r>
    </w:p>
    <w:p>
      <w:pPr>
        <w:pStyle w:val="ListParagraph"/>
        <w:numPr>
          <w:ilvl w:val="0"/>
          <w:numId w:val="2"/>
        </w:numPr>
        <w:spacing w:after="90" w:line="264"/>
      </w:pPr>
      <w:r>
        <w:rPr>
          <w:rFonts w:ascii="Calibri" w:cs="Calibri" w:eastAsia="Calibri" w:hAnsi="Calibri"/>
          <w:color w:val="2B2338"/>
          <w:sz w:val="21"/>
          <w:szCs w:val="21"/>
        </w:rPr>
        <w:t xml:space="preserve">Approve the light pastel lilac + warm-gold palette (Section 4) and provide the updated logo files (gold variant).</w:t>
      </w:r>
    </w:p>
    <w:p>
      <w:pPr>
        <w:pStyle w:val="ListParagraph"/>
        <w:numPr>
          <w:ilvl w:val="0"/>
          <w:numId w:val="2"/>
        </w:numPr>
        <w:spacing w:after="90" w:line="264"/>
      </w:pPr>
      <w:r>
        <w:rPr>
          <w:rFonts w:ascii="Calibri" w:cs="Calibri" w:eastAsia="Calibri" w:hAnsi="Calibri"/>
          <w:color w:val="2B2338"/>
          <w:sz w:val="21"/>
          <w:szCs w:val="21"/>
        </w:rPr>
        <w:t xml:space="preserve">Provide "How It Was" content after the first tours (photos, trip reports, participant + hotel reviews); confirm the pre-first-tour placeholder wording.</w:t>
      </w:r>
    </w:p>
    <w:p>
      <w:pPr>
        <w:pStyle w:val="ListParagraph"/>
        <w:numPr>
          <w:ilvl w:val="0"/>
          <w:numId w:val="2"/>
        </w:numPr>
        <w:spacing w:after="90" w:line="264"/>
      </w:pPr>
      <w:r>
        <w:rPr>
          <w:rFonts w:ascii="Calibri" w:cs="Calibri" w:eastAsia="Calibri" w:hAnsi="Calibri"/>
          <w:color w:val="2B2338"/>
          <w:sz w:val="21"/>
          <w:szCs w:val="21"/>
        </w:rPr>
        <w:t xml:space="preserve">Designate which Coati staff receive content-portal logins, and their editing scope.</w:t>
      </w:r>
    </w:p>
    <w:p>
      <w:pPr>
        <w:pStyle w:val="ListParagraph"/>
        <w:numPr>
          <w:ilvl w:val="0"/>
          <w:numId w:val="2"/>
        </w:numPr>
        <w:spacing w:after="90" w:line="264"/>
      </w:pPr>
      <w:r>
        <w:rPr>
          <w:rFonts w:ascii="Calibri" w:cs="Calibri" w:eastAsia="Calibri" w:hAnsi="Calibri"/>
          <w:color w:val="2B2338"/>
          <w:sz w:val="21"/>
          <w:szCs w:val="21"/>
        </w:rPr>
        <w:t xml:space="preserve">Set up DNS (Route 53) + SSL and professional email (SPF/DKIM/DMARC) on the purchased WePresent.org domain; confirm registrar/AWS account ownership.</w:t>
      </w:r>
    </w:p>
    <w:p>
      <w:pPr>
        <w:pStyle w:val="ListParagraph"/>
        <w:numPr>
          <w:ilvl w:val="0"/>
          <w:numId w:val="2"/>
        </w:numPr>
        <w:spacing w:after="90" w:line="264"/>
      </w:pPr>
      <w:r>
        <w:rPr>
          <w:rFonts w:ascii="Calibri" w:cs="Calibri" w:eastAsia="Calibri" w:hAnsi="Calibri"/>
          <w:color w:val="2B2338"/>
          <w:sz w:val="21"/>
          <w:szCs w:val="21"/>
        </w:rPr>
        <w:t xml:space="preserve">Run the reachability test from Russia (Section 10.4) to confirm AWS; fall back to a CIS-adjacent host if it fails.</w:t>
      </w:r>
    </w:p>
    <w:p>
      <w:pPr>
        <w:pStyle w:val="ListParagraph"/>
        <w:numPr>
          <w:ilvl w:val="0"/>
          <w:numId w:val="2"/>
        </w:numPr>
        <w:spacing w:after="90" w:line="264"/>
      </w:pPr>
      <w:r>
        <w:rPr>
          <w:rFonts w:ascii="Calibri" w:cs="Calibri" w:eastAsia="Calibri" w:hAnsi="Calibri"/>
          <w:color w:val="2B2338"/>
          <w:sz w:val="21"/>
          <w:szCs w:val="21"/>
        </w:rPr>
        <w:t xml:space="preserve">Provide or approve the privacy policy / data-consent text.</w:t>
      </w:r>
    </w:p>
    <w:p>
      <w:pPr>
        <w:pStyle w:val="ListParagraph"/>
        <w:numPr>
          <w:ilvl w:val="0"/>
          <w:numId w:val="2"/>
        </w:numPr>
        <w:spacing w:after="90" w:line="264"/>
      </w:pPr>
      <w:r>
        <w:rPr>
          <w:rFonts w:ascii="Calibri" w:cs="Calibri" w:eastAsia="Calibri" w:hAnsi="Calibri"/>
          <w:color w:val="2B2338"/>
          <w:sz w:val="21"/>
          <w:szCs w:val="21"/>
        </w:rPr>
        <w:t xml:space="preserve">Provide remaining written content per resort (key facts + story) and each resort’s official website link.</w:t>
      </w:r>
    </w:p>
    <w:p>
      <w:pPr>
        <w:pStyle w:val="ListParagraph"/>
        <w:numPr>
          <w:ilvl w:val="0"/>
          <w:numId w:val="2"/>
        </w:numPr>
        <w:spacing w:after="90" w:line="264"/>
      </w:pPr>
      <w:r>
        <w:rPr>
          <w:rFonts w:ascii="Calibri" w:cs="Calibri" w:eastAsia="Calibri" w:hAnsi="Calibri"/>
          <w:color w:val="2B2338"/>
          <w:sz w:val="21"/>
          <w:szCs w:val="21"/>
        </w:rPr>
        <w:t xml:space="preserve">Provide footer/contact details: the project Instagram handle/URL, contact phone number, and office address; the Coati Travel (parent) logo file and coatitravel.ru link.</w:t>
      </w:r>
    </w:p>
    <w:p>
      <w:pPr>
        <w:spacing w:after="140" w:line="276"/>
      </w:pPr>
      <w:r>
        <w:rPr>
          <w:rFonts w:ascii="Calibri" w:cs="Calibri" w:eastAsia="Calibri" w:hAnsi="Calibri"/>
          <w:color w:val="2B2338"/>
          <w:sz w:val="21"/>
          <w:szCs w:val="21"/>
        </w:rPr>
        <w:t xml:space="preserve">With these in hand, build can proceed; visual/design direction is finalized in parallel as agreed.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F6F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Present — Website Technical Specification v1.7</dc:title>
  <dc:creator>We Present by Coati Travel</dc:creator>
  <cp:lastModifiedBy>Un-named</cp:lastModifiedBy>
  <cp:revision>1</cp:revision>
  <dcterms:created xsi:type="dcterms:W3CDTF">2026-07-17T09:55:44.758Z</dcterms:created>
  <dcterms:modified xsi:type="dcterms:W3CDTF">2026-07-17T09:55:44.758Z</dcterms:modified>
</cp:coreProperties>
</file>

<file path=docProps/custom.xml><?xml version="1.0" encoding="utf-8"?>
<Properties xmlns="http://schemas.openxmlformats.org/officeDocument/2006/custom-properties" xmlns:vt="http://schemas.openxmlformats.org/officeDocument/2006/docPropsVTypes"/>
</file>