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b/>
          <w:bCs/>
          <w:color w:val="3E2C55"/>
          <w:spacing w:val="80"/>
          <w:sz w:val="64"/>
          <w:szCs w:val="64"/>
        </w:rPr>
        <w:t xml:space="preserve">WE PRESENT</w:t>
      </w:r>
    </w:p>
    <w:p>
      <w:pPr>
        <w:spacing w:after="40"/>
        <w:jc w:val="center"/>
      </w:pPr>
      <w:r>
        <w:rPr>
          <w:i/>
          <w:iCs/>
          <w:color w:val="6E4FA3"/>
          <w:sz w:val="30"/>
          <w:szCs w:val="30"/>
        </w:rPr>
        <w:t xml:space="preserve">by Coati</w:t>
      </w:r>
    </w:p>
    <w:p>
      <w:pPr>
        <w:spacing w:after="260"/>
        <w:jc w:val="center"/>
      </w:pPr>
      <w:r>
        <w:rPr>
          <w:color w:val="2B2338"/>
          <w:sz w:val="30"/>
          <w:szCs w:val="30"/>
        </w:rPr>
        <w:t xml:space="preserve">Website Technical Specification</w:t>
      </w:r>
    </w:p>
    <w:p>
      <w:pPr>
        <w:spacing w:after="40"/>
        <w:jc w:val="center"/>
      </w:pPr>
      <w:r>
        <w:rPr>
          <w:color w:val="2B2338"/>
          <w:sz w:val="20"/>
          <w:szCs w:val="20"/>
        </w:rPr>
        <w:t xml:space="preserve">Round 3 — Positioning copy, gradient restoration, value-section elevation &amp; invitation details</w:t>
      </w:r>
    </w:p>
    <w:p>
      <w:pPr>
        <w:spacing w:after="40"/>
        <w:jc w:val="center"/>
      </w:pPr>
      <w:r>
        <w:rPr>
          <w:b/>
          <w:bCs/>
          <w:color w:val="C9A24B"/>
          <w:sz w:val="22"/>
          <w:szCs w:val="22"/>
        </w:rPr>
        <w:t xml:space="preserve">Version 2.0 · July 2026</w:t>
      </w:r>
    </w:p>
    <w:p>
      <w:pPr>
        <w:spacing w:after="300"/>
        <w:jc w:val="center"/>
      </w:pPr>
      <w:r>
        <w:rPr>
          <w:color w:val="2B2338"/>
          <w:sz w:val="20"/>
          <w:szCs w:val="20"/>
        </w:rPr>
        <w:t xml:space="preserve">Prepared for: WePresent by COATI · COATI Global Sales Agency</w:t>
      </w:r>
    </w:p>
    <w:p>
      <w:pPr>
        <w:pBdr>
          <w:left w:val="single" w:color="6E4FA3" w:sz="18" w:space="8"/>
        </w:pBdr>
        <w:shd w:fill="F3ECFB" w:val="clear"/>
        <w:spacing w:after="140" w:before="100"/>
      </w:pPr>
      <w:r>
        <w:rPr>
          <w:b/>
          <w:bCs/>
          <w:color w:val="6E4FA3"/>
          <w:sz w:val="20"/>
          <w:szCs w:val="20"/>
        </w:rPr>
        <w:t xml:space="preserve">How to use this document. </w:t>
      </w:r>
      <w:r>
        <w:rPr>
          <w:color w:val="2B2338"/>
          <w:sz w:val="20"/>
          <w:szCs w:val="20"/>
        </w:rPr>
        <w:t xml:space="preserve">v2.0 supersedes v1.9 and adds: (1) positioning copy corrections — the About / “how it works” text contradicted the live site and is rewritten; (2) a design fix — restore the lilac→aubergine gradient on every page banner (most pages had regressed to a flat dark-purple backdrop); and (3) missing invitation details — the “What's included” package and the “At every resort you will enjoy” on-site programme; and (4) elevating the About “Value” grid with a stronger design and tasteful motion (with the design/animation skills to use). It builds ON v1.9, which still carries the round-2 backlog (About-as-platform + cases, Resorts→Destinations, Meyyafushi→Lhaviyani, RU/EN form split, logo standardisation) and the Security section. Hand v1.9 and v2.0 to Claude Code together as one batch. Tags: NEW / CHANGED / FIX.</w:t>
      </w:r>
    </w:p>
    <w:p>
      <w:pPr>
        <w:pStyle w:val="Heading1"/>
        <w:spacing w:after="140" w:before="320"/>
      </w:pPr>
      <w:r>
        <w:rPr>
          <w:b/>
          <w:bCs/>
          <w:color w:val="3E2C55"/>
          <w:sz w:val="30"/>
          <w:szCs w:val="30"/>
        </w:rPr>
        <w:t xml:space="preserve">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3E2C55" w:val="clear"/>
            <w:tcMar>
              <w:top w:type="dxa" w:w="60"/>
              <w:left w:type="dxa" w:w="90"/>
              <w:bottom w:type="dxa" w:w="60"/>
              <w:right w:type="dxa" w:w="90"/>
            </w:tcMar>
          </w:tcPr>
          <w:p>
            <w:r>
              <w:rPr>
                <w:b/>
                <w:bCs/>
                <w:color w:val="FFFFFF"/>
                <w:sz w:val="19"/>
                <w:szCs w:val="19"/>
              </w:rPr>
              <w:t xml:space="preserve">Field</w:t>
            </w:r>
          </w:p>
        </w:tc>
        <w:tc>
          <w:tcPr>
            <w:tcW w:type="dxa" w:w="7000"/>
            <w:shd w:fill="3E2C55" w:val="clear"/>
            <w:tcMar>
              <w:top w:type="dxa" w:w="60"/>
              <w:left w:type="dxa" w:w="90"/>
              <w:bottom w:type="dxa" w:w="60"/>
              <w:right w:type="dxa" w:w="90"/>
            </w:tcMar>
          </w:tcPr>
          <w:p>
            <w:r>
              <w:rPr>
                <w:b/>
                <w:bCs/>
                <w:color w:val="FFFFFF"/>
                <w:sz w:val="19"/>
                <w:szCs w:val="19"/>
              </w:rPr>
              <w:t xml:space="preserve">Detail</w:t>
            </w:r>
          </w:p>
        </w:tc>
      </w:tr>
      <w:tr>
        <w:tc>
          <w:tcPr>
            <w:tcW w:type="dxa" w:w="2200"/>
            <w:shd w:fill="F7F3FB" w:val="clear"/>
            <w:tcMar>
              <w:top w:type="dxa" w:w="50"/>
              <w:left w:type="dxa" w:w="90"/>
              <w:bottom w:type="dxa" w:w="50"/>
              <w:right w:type="dxa" w:w="90"/>
            </w:tcMar>
          </w:tcPr>
          <w:p>
            <w:pPr>
              <w:spacing w:after="20"/>
            </w:pPr>
            <w:r>
              <w:rPr>
                <w:color w:val="2B2338"/>
                <w:sz w:val="18"/>
                <w:szCs w:val="18"/>
              </w:rPr>
              <w:t xml:space="preserve">Document</w:t>
            </w:r>
          </w:p>
        </w:tc>
        <w:tc>
          <w:tcPr>
            <w:tcW w:type="dxa" w:w="7000"/>
            <w:shd w:fill="F7F3FB" w:val="clear"/>
            <w:tcMar>
              <w:top w:type="dxa" w:w="50"/>
              <w:left w:type="dxa" w:w="90"/>
              <w:bottom w:type="dxa" w:w="50"/>
              <w:right w:type="dxa" w:w="90"/>
            </w:tcMar>
          </w:tcPr>
          <w:p>
            <w:pPr>
              <w:spacing w:after="20"/>
            </w:pPr>
            <w:r>
              <w:rPr>
                <w:color w:val="2B2338"/>
                <w:sz w:val="18"/>
                <w:szCs w:val="18"/>
              </w:rPr>
              <w:t xml:space="preserve">WePresent by COATI — Website Technical Specification</w:t>
            </w:r>
          </w:p>
        </w:tc>
      </w:tr>
      <w:tr>
        <w:tc>
          <w:tcPr>
            <w:tcW w:type="dxa" w:w="2200"/>
            <w:shd w:fill="FFFFFF" w:val="clear"/>
            <w:tcMar>
              <w:top w:type="dxa" w:w="50"/>
              <w:left w:type="dxa" w:w="90"/>
              <w:bottom w:type="dxa" w:w="50"/>
              <w:right w:type="dxa" w:w="90"/>
            </w:tcMar>
          </w:tcPr>
          <w:p>
            <w:pPr>
              <w:spacing w:after="20"/>
            </w:pPr>
            <w:r>
              <w:rPr>
                <w:color w:val="2B2338"/>
                <w:sz w:val="18"/>
                <w:szCs w:val="18"/>
              </w:rPr>
              <w:t xml:space="preserve">Version</w:t>
            </w:r>
          </w:p>
        </w:tc>
        <w:tc>
          <w:tcPr>
            <w:tcW w:type="dxa" w:w="7000"/>
            <w:shd w:fill="FFFFFF" w:val="clear"/>
            <w:tcMar>
              <w:top w:type="dxa" w:w="50"/>
              <w:left w:type="dxa" w:w="90"/>
              <w:bottom w:type="dxa" w:w="50"/>
              <w:right w:type="dxa" w:w="90"/>
            </w:tcMar>
          </w:tcPr>
          <w:p>
            <w:pPr>
              <w:spacing w:after="20"/>
            </w:pPr>
            <w:r>
              <w:rPr>
                <w:color w:val="2B2338"/>
                <w:sz w:val="18"/>
                <w:szCs w:val="18"/>
              </w:rPr>
              <w:t xml:space="preserve">2.0 — Round 3: positioning copy, design gradient fix + invitation details (supersedes v1.9)</w:t>
            </w:r>
          </w:p>
        </w:tc>
      </w:tr>
      <w:tr>
        <w:tc>
          <w:tcPr>
            <w:tcW w:type="dxa" w:w="2200"/>
            <w:shd w:fill="F7F3FB" w:val="clear"/>
            <w:tcMar>
              <w:top w:type="dxa" w:w="50"/>
              <w:left w:type="dxa" w:w="90"/>
              <w:bottom w:type="dxa" w:w="50"/>
              <w:right w:type="dxa" w:w="90"/>
            </w:tcMar>
          </w:tcPr>
          <w:p>
            <w:pPr>
              <w:spacing w:after="20"/>
            </w:pPr>
            <w:r>
              <w:rPr>
                <w:color w:val="2B2338"/>
                <w:sz w:val="18"/>
                <w:szCs w:val="18"/>
              </w:rPr>
              <w:t xml:space="preserve">Repo state</w:t>
            </w:r>
          </w:p>
        </w:tc>
        <w:tc>
          <w:tcPr>
            <w:tcW w:type="dxa" w:w="7000"/>
            <w:shd w:fill="F7F3FB" w:val="clear"/>
            <w:tcMar>
              <w:top w:type="dxa" w:w="50"/>
              <w:left w:type="dxa" w:w="90"/>
              <w:bottom w:type="dxa" w:w="50"/>
              <w:right w:type="dxa" w:w="90"/>
            </w:tcMar>
          </w:tcPr>
          <w:p>
            <w:pPr>
              <w:spacing w:after="20"/>
            </w:pPr>
            <w:r>
              <w:rPr>
                <w:color w:val="2B2338"/>
                <w:sz w:val="18"/>
                <w:szCs w:val="18"/>
              </w:rPr>
              <w:t xml:space="preserve">The repository currently reflects round 1 (brand rename, Meemu fix, Cinnamon/Kenya, content portal). Round 2 (v1.9) and round 3 (v2.0) are the outstanding backlog to build.</w:t>
            </w:r>
          </w:p>
        </w:tc>
      </w:tr>
      <w:tr>
        <w:tc>
          <w:tcPr>
            <w:tcW w:type="dxa" w:w="2200"/>
            <w:shd w:fill="FFFFFF" w:val="clear"/>
            <w:tcMar>
              <w:top w:type="dxa" w:w="50"/>
              <w:left w:type="dxa" w:w="90"/>
              <w:bottom w:type="dxa" w:w="50"/>
              <w:right w:type="dxa" w:w="90"/>
            </w:tcMar>
          </w:tcPr>
          <w:p>
            <w:pPr>
              <w:spacing w:after="20"/>
            </w:pPr>
            <w:r>
              <w:rPr>
                <w:color w:val="2B2338"/>
                <w:sz w:val="18"/>
                <w:szCs w:val="18"/>
              </w:rPr>
              <w:t xml:space="preserve">Prepared for</w:t>
            </w:r>
          </w:p>
        </w:tc>
        <w:tc>
          <w:tcPr>
            <w:tcW w:type="dxa" w:w="7000"/>
            <w:shd w:fill="FFFFFF" w:val="clear"/>
            <w:tcMar>
              <w:top w:type="dxa" w:w="50"/>
              <w:left w:type="dxa" w:w="90"/>
              <w:bottom w:type="dxa" w:w="50"/>
              <w:right w:type="dxa" w:w="90"/>
            </w:tcMar>
          </w:tcPr>
          <w:p>
            <w:pPr>
              <w:spacing w:after="20"/>
            </w:pPr>
            <w:r>
              <w:rPr>
                <w:color w:val="2B2338"/>
                <w:sz w:val="18"/>
                <w:szCs w:val="18"/>
              </w:rPr>
              <w:t xml:space="preserve">COATI Global Sales Agency (Russia / CIS market)</w:t>
            </w:r>
          </w:p>
        </w:tc>
      </w:tr>
    </w:tbl>
    <w:p>
      <w:pPr>
        <w:pStyle w:val="Heading1"/>
        <w:spacing w:after="140" w:before="320"/>
      </w:pPr>
      <w:r>
        <w:rPr>
          <w:b/>
          <w:bCs/>
          <w:color w:val="3E2C55"/>
          <w:sz w:val="30"/>
          <w:szCs w:val="30"/>
        </w:rPr>
        <w:t xml:space="preserve">Key changes since v1.9 (round 3)</w:t>
      </w:r>
    </w:p>
    <w:p>
      <w:pPr>
        <w:pStyle w:val="Heading2"/>
        <w:spacing w:after="100" w:before="240"/>
      </w:pPr>
      <w:r>
        <w:rPr>
          <w:b/>
          <w:bCs/>
          <w:color w:val="6E4FA3"/>
          <w:sz w:val="25"/>
          <w:szCs w:val="25"/>
        </w:rPr>
        <w:t xml:space="preserve">Positioning copy correction</w:t>
      </w:r>
    </w:p>
    <w:p>
      <w:pPr>
        <w:pStyle w:val="ListParagraph"/>
        <w:numPr>
          <w:ilvl w:val="0"/>
          <w:numId w:val="1"/>
        </w:numPr>
        <w:spacing w:after="60" w:line="270"/>
      </w:pPr>
      <w:r>
        <w:rPr>
          <w:b/>
          <w:bCs/>
          <w:color w:val="FFFFFF"/>
          <w:sz w:val="16"/>
          <w:szCs w:val="16"/>
          <w:shd w:fill="9B2226" w:val="clear"/>
        </w:rPr>
        <w:t xml:space="preserve">  FIX  </w:t>
      </w:r>
      <w:r>
        <w:rPr>
          <w:color w:val="2B2338"/>
          <w:sz w:val="21"/>
          <w:szCs w:val="21"/>
        </w:rPr>
        <w:t xml:space="preserve">  The About “how it works” copy contradicts the live site. It says the group is </w:t>
      </w:r>
      <w:r>
        <w:rPr>
          <w:i/>
          <w:iCs/>
          <w:color w:val="2B2338"/>
          <w:sz w:val="21"/>
          <w:szCs w:val="21"/>
        </w:rPr>
        <w:t xml:space="preserve">“already confirmed”</w:t>
      </w:r>
      <w:r>
        <w:rPr>
          <w:color w:val="2B2338"/>
          <w:sz w:val="21"/>
          <w:szCs w:val="21"/>
        </w:rPr>
        <w:t xml:space="preserve"> and the site is </w:t>
      </w:r>
      <w:r>
        <w:rPr>
          <w:i/>
          <w:iCs/>
          <w:color w:val="2B2338"/>
          <w:sz w:val="21"/>
          <w:szCs w:val="21"/>
        </w:rPr>
        <w:t xml:space="preserve">“not a tool to recruit attendees,”</w:t>
      </w:r>
      <w:r>
        <w:rPr>
          <w:color w:val="2B2338"/>
          <w:sz w:val="21"/>
          <w:szCs w:val="21"/>
        </w:rPr>
        <w:t xml:space="preserve"> but there is now a registration / contact form for interested parties, and the programme spans multiple destinations (Maldives, Oman, Kenya). Rewrite it as </w:t>
      </w:r>
      <w:r>
        <w:rPr>
          <w:b/>
          <w:bCs/>
          <w:color w:val="2B2338"/>
          <w:sz w:val="21"/>
          <w:szCs w:val="21"/>
        </w:rPr>
        <w:t xml:space="preserve">merit-based, multi-destination, and open to expressions of interest</w:t>
      </w:r>
      <w:r>
        <w:rPr>
          <w:color w:val="2B2338"/>
          <w:sz w:val="21"/>
          <w:szCs w:val="21"/>
        </w:rPr>
        <w:t xml:space="preserve">. §1, §6.3, Appendix A.</w:t>
      </w:r>
    </w:p>
    <w:p>
      <w:pPr>
        <w:pStyle w:val="ListParagraph"/>
        <w:numPr>
          <w:ilvl w:val="0"/>
          <w:numId w:val="1"/>
        </w:numPr>
        <w:spacing w:after="60" w:line="270"/>
      </w:pPr>
      <w:r>
        <w:rPr>
          <w:b/>
          <w:bCs/>
          <w:color w:val="FFFFFF"/>
          <w:sz w:val="16"/>
          <w:szCs w:val="16"/>
          <w:shd w:fill="9B2226" w:val="clear"/>
        </w:rPr>
        <w:t xml:space="preserve">  FIX  </w:t>
      </w:r>
      <w:r>
        <w:rPr>
          <w:color w:val="2B2338"/>
          <w:sz w:val="21"/>
          <w:szCs w:val="21"/>
        </w:rPr>
        <w:t xml:space="preserve">  Two adjacent spots reinforce the contradiction and must change with it: the </w:t>
      </w:r>
      <w:r>
        <w:rPr>
          <w:b/>
          <w:bCs/>
          <w:color w:val="2B2338"/>
          <w:sz w:val="21"/>
          <w:szCs w:val="21"/>
        </w:rPr>
        <w:t xml:space="preserve">Selection Model</w:t>
      </w:r>
      <w:r>
        <w:rPr>
          <w:color w:val="2B2338"/>
          <w:sz w:val="21"/>
          <w:szCs w:val="21"/>
        </w:rPr>
        <w:t xml:space="preserve"> step “no application process,” and the </w:t>
      </w:r>
      <w:r>
        <w:rPr>
          <w:b/>
          <w:bCs/>
          <w:color w:val="2B2338"/>
          <w:sz w:val="21"/>
          <w:szCs w:val="21"/>
        </w:rPr>
        <w:t xml:space="preserve">Concept</w:t>
      </w:r>
      <w:r>
        <w:rPr>
          <w:color w:val="2B2338"/>
          <w:sz w:val="21"/>
          <w:szCs w:val="21"/>
        </w:rPr>
        <w:t xml:space="preserve"> line calling it “an ongoing series of tours.” Appendix A.</w:t>
      </w:r>
    </w:p>
    <w:p>
      <w:pPr>
        <w:pStyle w:val="Heading2"/>
        <w:spacing w:after="100" w:before="240"/>
      </w:pPr>
      <w:r>
        <w:rPr>
          <w:b/>
          <w:bCs/>
          <w:color w:val="6E4FA3"/>
          <w:sz w:val="25"/>
          <w:szCs w:val="25"/>
        </w:rPr>
        <w:t xml:space="preserve">Design — restore the gradient banners</w:t>
      </w:r>
    </w:p>
    <w:p>
      <w:pPr>
        <w:pStyle w:val="ListParagraph"/>
        <w:numPr>
          <w:ilvl w:val="0"/>
          <w:numId w:val="1"/>
        </w:numPr>
        <w:spacing w:after="60" w:line="270"/>
      </w:pPr>
      <w:r>
        <w:rPr>
          <w:b/>
          <w:bCs/>
          <w:color w:val="FFFFFF"/>
          <w:sz w:val="16"/>
          <w:szCs w:val="16"/>
          <w:shd w:fill="9B2226" w:val="clear"/>
        </w:rPr>
        <w:t xml:space="preserve">  FIX  </w:t>
      </w:r>
      <w:r>
        <w:rPr>
          <w:color w:val="2B2338"/>
          <w:sz w:val="21"/>
          <w:szCs w:val="21"/>
        </w:rPr>
        <w:t xml:space="preserve">  Most page banners regressed to a flat dark-purple </w:t>
      </w:r>
      <w:r>
        <w:rPr>
          <w:rFonts w:ascii="Consolas" w:cs="Consolas" w:eastAsia="Consolas" w:hAnsi="Consolas"/>
          <w:color w:val="3E2C55"/>
          <w:sz w:val="18"/>
          <w:szCs w:val="18"/>
        </w:rPr>
        <w:t xml:space="preserve">bg-aubergine</w:t>
      </w:r>
      <w:r>
        <w:rPr>
          <w:color w:val="2B2338"/>
          <w:sz w:val="21"/>
          <w:szCs w:val="21"/>
        </w:rPr>
        <w:t xml:space="preserve"> backdrop; only the Register page kept the intended </w:t>
      </w:r>
      <w:r>
        <w:rPr>
          <w:b/>
          <w:bCs/>
          <w:color w:val="2B2338"/>
          <w:sz w:val="21"/>
          <w:szCs w:val="21"/>
        </w:rPr>
        <w:t xml:space="preserve">lilac→amethyst→aubergine gradient</w:t>
      </w:r>
      <w:r>
        <w:rPr>
          <w:color w:val="2B2338"/>
          <w:sz w:val="21"/>
          <w:szCs w:val="21"/>
        </w:rPr>
        <w:t xml:space="preserve">. This was not requested. Restore the gradient on every page banner so the site is consistent with the Register page. §4a, Appendix B.</w:t>
      </w:r>
    </w:p>
    <w:p>
      <w:pPr>
        <w:pStyle w:val="Heading2"/>
        <w:spacing w:after="100" w:before="240"/>
      </w:pPr>
      <w:r>
        <w:rPr>
          <w:b/>
          <w:bCs/>
          <w:color w:val="6E4FA3"/>
          <w:sz w:val="25"/>
          <w:szCs w:val="25"/>
        </w:rPr>
        <w:t xml:space="preserve">Elevate the About “Value” section (client priority)</w:t>
      </w:r>
    </w:p>
    <w:p>
      <w:pPr>
        <w:pStyle w:val="ListParagraph"/>
        <w:numPr>
          <w:ilvl w:val="0"/>
          <w:numId w:val="1"/>
        </w:numPr>
        <w:spacing w:after="60" w:line="270"/>
      </w:pPr>
      <w:r>
        <w:rPr>
          <w:b/>
          <w:bCs/>
          <w:color w:val="FFFFFF"/>
          <w:sz w:val="16"/>
          <w:szCs w:val="16"/>
          <w:shd w:fill="C9A24B" w:val="clear"/>
        </w:rPr>
        <w:t xml:space="preserve">  CHANGED  </w:t>
      </w:r>
      <w:r>
        <w:rPr>
          <w:color w:val="2B2338"/>
          <w:sz w:val="21"/>
          <w:szCs w:val="21"/>
        </w:rPr>
        <w:t xml:space="preserve">  The six-card “What the platform creates” grid is the section the client most wants to land, but it reads </w:t>
      </w:r>
      <w:r>
        <w:rPr>
          <w:b/>
          <w:bCs/>
          <w:color w:val="2B2338"/>
          <w:sz w:val="21"/>
          <w:szCs w:val="21"/>
        </w:rPr>
        <w:t xml:space="preserve">flat</w:t>
      </w:r>
      <w:r>
        <w:rPr>
          <w:color w:val="2B2338"/>
          <w:sz w:val="21"/>
          <w:szCs w:val="21"/>
        </w:rPr>
        <w:t xml:space="preserve"> — identical cards, one repeated icon, a uniform fade. Redesign for hierarchy and add tasteful motion (distinct icons, a focal point, choreographed entrance + hover micro-interactions). Use the design/animation skills. §8.</w:t>
      </w:r>
    </w:p>
    <w:p>
      <w:pPr>
        <w:pStyle w:val="Heading2"/>
        <w:spacing w:after="100" w:before="240"/>
      </w:pPr>
      <w:r>
        <w:rPr>
          <w:b/>
          <w:bCs/>
          <w:color w:val="6E4FA3"/>
          <w:sz w:val="25"/>
          <w:szCs w:val="25"/>
        </w:rPr>
        <w:t xml:space="preserve">Missing invitation details</w:t>
      </w:r>
    </w:p>
    <w:p>
      <w:pPr>
        <w:pStyle w:val="ListParagraph"/>
        <w:numPr>
          <w:ilvl w:val="0"/>
          <w:numId w:val="1"/>
        </w:numPr>
        <w:spacing w:after="60" w:line="270"/>
      </w:pPr>
      <w:r>
        <w:rPr>
          <w:b/>
          <w:bCs/>
          <w:color w:val="FFFFFF"/>
          <w:sz w:val="16"/>
          <w:szCs w:val="16"/>
          <w:shd w:fill="6E4FA3" w:val="clear"/>
        </w:rPr>
        <w:t xml:space="preserve">  NEW  </w:t>
      </w:r>
      <w:r>
        <w:rPr>
          <w:color w:val="2B2338"/>
          <w:sz w:val="21"/>
          <w:szCs w:val="21"/>
        </w:rPr>
        <w:t xml:space="preserve">  Add the </w:t>
      </w:r>
      <w:r>
        <w:rPr>
          <w:b/>
          <w:bCs/>
          <w:color w:val="2B2338"/>
          <w:sz w:val="21"/>
          <w:szCs w:val="21"/>
        </w:rPr>
        <w:t xml:space="preserve">“What's included” package</w:t>
      </w:r>
      <w:r>
        <w:rPr>
          <w:color w:val="2B2338"/>
          <w:sz w:val="21"/>
          <w:szCs w:val="21"/>
        </w:rPr>
        <w:t xml:space="preserve"> (registration fee, accommodation, full board, transfers, exclusive programme) with its fine print — currently nowhere on the site. §7, Appendix C.</w:t>
      </w:r>
    </w:p>
    <w:p>
      <w:pPr>
        <w:pStyle w:val="ListParagraph"/>
        <w:numPr>
          <w:ilvl w:val="0"/>
          <w:numId w:val="1"/>
        </w:numPr>
        <w:spacing w:after="60" w:line="270"/>
      </w:pPr>
      <w:r>
        <w:rPr>
          <w:b/>
          <w:bCs/>
          <w:color w:val="FFFFFF"/>
          <w:sz w:val="16"/>
          <w:szCs w:val="16"/>
          <w:shd w:fill="6E4FA3" w:val="clear"/>
        </w:rPr>
        <w:t xml:space="preserve">  NEW  </w:t>
      </w:r>
      <w:r>
        <w:rPr>
          <w:color w:val="2B2338"/>
          <w:sz w:val="21"/>
          <w:szCs w:val="21"/>
        </w:rPr>
        <w:t xml:space="preserve">  Add the </w:t>
      </w:r>
      <w:r>
        <w:rPr>
          <w:b/>
          <w:bCs/>
          <w:color w:val="2B2338"/>
          <w:sz w:val="21"/>
          <w:szCs w:val="21"/>
        </w:rPr>
        <w:t xml:space="preserve">“At every resort you will enjoy” on-site programme</w:t>
      </w:r>
      <w:r>
        <w:rPr>
          <w:color w:val="2B2338"/>
          <w:sz w:val="21"/>
          <w:szCs w:val="21"/>
        </w:rPr>
        <w:t xml:space="preserve"> (inspections, management meetings, networking, content creation, updates, brainstorming). §7, Appendix C.</w:t>
      </w:r>
    </w:p>
    <w:p>
      <w:r>
        <w:br w:type="page"/>
      </w:r>
    </w:p>
    <w:p>
      <w:pPr>
        <w:pStyle w:val="Heading1"/>
        <w:spacing w:after="140" w:before="320"/>
      </w:pPr>
      <w:r>
        <w:rPr>
          <w:b/>
          <w:bCs/>
          <w:color w:val="3E2C55"/>
          <w:sz w:val="30"/>
          <w:szCs w:val="30"/>
        </w:rPr>
        <w:t xml:space="preserve">1. Positioning correction (supersedes the v1.x “not a tool to recruit” line)</w:t>
      </w:r>
    </w:p>
    <w:p>
      <w:pPr>
        <w:spacing w:after="120" w:line="276"/>
      </w:pPr>
      <w:r>
        <w:rPr>
          <w:color w:val="2B2338"/>
          <w:sz w:val="21"/>
          <w:szCs w:val="21"/>
        </w:rPr>
        <w:t xml:space="preserve">Earlier specifications stated the site </w:t>
      </w:r>
      <w:r>
        <w:rPr>
          <w:i/>
          <w:iCs/>
          <w:color w:val="2B2338"/>
          <w:sz w:val="21"/>
          <w:szCs w:val="21"/>
        </w:rPr>
        <w:t xml:space="preserve">“is not a tool to recruit attendees.”</w:t>
      </w:r>
      <w:r>
        <w:rPr>
          <w:color w:val="2B2338"/>
          <w:sz w:val="21"/>
          <w:szCs w:val="21"/>
        </w:rPr>
        <w:t xml:space="preserve"> That is </w:t>
      </w:r>
      <w:r>
        <w:rPr>
          <w:b/>
          <w:bCs/>
          <w:color w:val="2B2338"/>
          <w:sz w:val="21"/>
          <w:szCs w:val="21"/>
        </w:rPr>
        <w:t xml:space="preserve">no longer accurate</w:t>
      </w:r>
      <w:r>
        <w:rPr>
          <w:color w:val="2B2338"/>
          <w:sz w:val="21"/>
          <w:szCs w:val="21"/>
        </w:rPr>
        <w:t xml:space="preserve"> and should be removed wherever it appears (spec text and site copy). The corrected positioning:</w:t>
      </w:r>
    </w:p>
    <w:p>
      <w:pPr>
        <w:spacing w:after="120" w:line="276"/>
      </w:pPr>
      <w:r>
        <w:rPr>
          <w:color w:val="2B2338"/>
          <w:sz w:val="21"/>
          <w:szCs w:val="21"/>
        </w:rPr>
        <w:t xml:space="preserve">WePresent is a </w:t>
      </w:r>
      <w:r>
        <w:rPr>
          <w:b/>
          <w:bCs/>
          <w:color w:val="2B2338"/>
          <w:sz w:val="21"/>
          <w:szCs w:val="21"/>
        </w:rPr>
        <w:t xml:space="preserve">merit-based, multi-destination programme</w:t>
      </w:r>
      <w:r>
        <w:rPr>
          <w:color w:val="2B2338"/>
          <w:sz w:val="21"/>
          <w:szCs w:val="21"/>
        </w:rPr>
        <w:t xml:space="preserve">. Participation is driven by agency production (room-nights) across the Russia and CIS market, and the website is now the </w:t>
      </w:r>
      <w:r>
        <w:rPr>
          <w:b/>
          <w:bCs/>
          <w:color w:val="2B2338"/>
          <w:sz w:val="21"/>
          <w:szCs w:val="21"/>
        </w:rPr>
        <w:t xml:space="preserve">entry point to express interest</w:t>
      </w:r>
      <w:r>
        <w:rPr>
          <w:color w:val="2B2338"/>
          <w:sz w:val="21"/>
          <w:szCs w:val="21"/>
        </w:rPr>
        <w:t xml:space="preserve">: interested agencies can register (RU) or partners can get in touch (EN). The COATI team reviews submissions and confirms the group for each edition. So the site both showcases the programme </w:t>
      </w:r>
      <w:r>
        <w:rPr>
          <w:i/>
          <w:iCs/>
          <w:color w:val="2B2338"/>
          <w:sz w:val="21"/>
          <w:szCs w:val="21"/>
        </w:rPr>
        <w:t xml:space="preserve">and</w:t>
      </w:r>
      <w:r>
        <w:rPr>
          <w:color w:val="2B2338"/>
          <w:sz w:val="21"/>
          <w:szCs w:val="21"/>
        </w:rPr>
        <w:t xml:space="preserve"> begins the participation conversation — it is not merely a static presence.</w:t>
      </w:r>
    </w:p>
    <w:p>
      <w:pPr>
        <w:pBdr>
          <w:left w:val="single" w:color="6E4FA3" w:sz="18" w:space="8"/>
        </w:pBdr>
        <w:shd w:fill="F3ECFB" w:val="clear"/>
        <w:spacing w:after="140" w:before="100"/>
      </w:pPr>
      <w:r>
        <w:rPr>
          <w:b/>
          <w:bCs/>
          <w:color w:val="6E4FA3"/>
          <w:sz w:val="20"/>
          <w:szCs w:val="20"/>
        </w:rPr>
        <w:t xml:space="preserve">Keep the exclusivity. </w:t>
      </w:r>
      <w:r>
        <w:rPr>
          <w:color w:val="2B2338"/>
          <w:sz w:val="20"/>
          <w:szCs w:val="20"/>
        </w:rPr>
        <w:t xml:space="preserve">This does not make WePresent an open sign-up. Selection stays merit-based and curated; the copy invites interest and applications while the team still confirms each group. Avoid language implying anyone who submits a form is automatically in.</w:t>
      </w:r>
    </w:p>
    <w:p>
      <w:pPr>
        <w:pStyle w:val="Heading1"/>
        <w:spacing w:after="140" w:before="320"/>
      </w:pPr>
      <w:r>
        <w:rPr>
          <w:b/>
          <w:bCs/>
          <w:color w:val="3E2C55"/>
          <w:sz w:val="30"/>
          <w:szCs w:val="30"/>
        </w:rPr>
        <w:t xml:space="preserve">4a. Design — page-banner background consistency</w:t>
      </w:r>
    </w:p>
    <w:p>
      <w:pPr>
        <w:spacing w:after="120" w:line="276"/>
      </w:pPr>
      <w:r>
        <w:rPr>
          <w:color w:val="2B2338"/>
          <w:sz w:val="21"/>
          <w:szCs w:val="21"/>
        </w:rPr>
        <w:t xml:space="preserve">Every page opens with a full-width top banner (the section with </w:t>
      </w:r>
      <w:r>
        <w:rPr>
          <w:rFonts w:ascii="Consolas" w:cs="Consolas" w:eastAsia="Consolas" w:hAnsi="Consolas"/>
          <w:color w:val="3E2C55"/>
          <w:sz w:val="18"/>
          <w:szCs w:val="18"/>
        </w:rPr>
        <w:t xml:space="preserve">pt-40</w:t>
      </w:r>
      <w:r>
        <w:rPr>
          <w:color w:val="2B2338"/>
          <w:sz w:val="21"/>
          <w:szCs w:val="21"/>
        </w:rPr>
        <w:t xml:space="preserve"> top padding that sits under the fixed header). These banners must all use the </w:t>
      </w:r>
      <w:r>
        <w:rPr>
          <w:b/>
          <w:bCs/>
          <w:color w:val="2B2338"/>
          <w:sz w:val="21"/>
          <w:szCs w:val="21"/>
        </w:rPr>
        <w:t xml:space="preserve">same gradient</w:t>
      </w:r>
      <w:r>
        <w:rPr>
          <w:color w:val="2B2338"/>
          <w:sz w:val="21"/>
          <w:szCs w:val="21"/>
        </w:rPr>
        <w:t xml:space="preserve"> — the one already on the Register page and the home Register band:</w:t>
      </w:r>
    </w:p>
    <w:p>
      <w:pPr>
        <w:pBdr>
          <w:left w:val="single" w:color="6E4FA3" w:sz="12" w:space="8"/>
        </w:pBdr>
        <w:shd w:fill="F3F1F6" w:val="clear"/>
        <w:spacing w:after="120" w:before="60"/>
      </w:pPr>
      <w:r>
        <w:rPr>
          <w:rFonts w:ascii="Consolas" w:cs="Consolas" w:eastAsia="Consolas" w:hAnsi="Consolas"/>
          <w:color w:val="2B2338"/>
          <w:sz w:val="18"/>
          <w:szCs w:val="18"/>
        </w:rPr>
        <w:t xml:space="preserve">bg-gradient-to-b from-soft-lilac via-amethyst to-aubergine</w:t>
      </w:r>
    </w:p>
    <w:p>
      <w:pPr>
        <w:spacing w:after="120" w:line="276"/>
      </w:pPr>
      <w:r>
        <w:rPr>
          <w:b/>
          <w:bCs/>
          <w:color w:val="FFFFFF"/>
          <w:sz w:val="16"/>
          <w:szCs w:val="16"/>
          <w:shd w:fill="9B2226" w:val="clear"/>
        </w:rPr>
        <w:t xml:space="preserve">  FIX  </w:t>
      </w:r>
      <w:r>
        <w:rPr>
          <w:color w:val="2B2338"/>
          <w:sz w:val="21"/>
          <w:szCs w:val="21"/>
        </w:rPr>
        <w:t xml:space="preserve">  Currently only the Register page uses it; eight other page banners use a flat </w:t>
      </w:r>
      <w:r>
        <w:rPr>
          <w:rFonts w:ascii="Consolas" w:cs="Consolas" w:eastAsia="Consolas" w:hAnsi="Consolas"/>
          <w:color w:val="3E2C55"/>
          <w:sz w:val="18"/>
          <w:szCs w:val="18"/>
        </w:rPr>
        <w:t xml:space="preserve">bg-aubergine</w:t>
      </w:r>
      <w:r>
        <w:rPr>
          <w:color w:val="2B2338"/>
          <w:sz w:val="21"/>
          <w:szCs w:val="21"/>
        </w:rPr>
        <w:t xml:space="preserve">. Replace the flat class with the gradient class on each (keep the rest of the class list — the </w:t>
      </w:r>
      <w:r>
        <w:rPr>
          <w:rFonts w:ascii="Consolas" w:cs="Consolas" w:eastAsia="Consolas" w:hAnsi="Consolas"/>
          <w:color w:val="3E2C55"/>
          <w:sz w:val="18"/>
          <w:szCs w:val="18"/>
        </w:rPr>
        <w:t xml:space="preserve">px-6 pb-20 pt-40 lg:px-10</w:t>
      </w:r>
      <w:r>
        <w:rPr>
          <w:color w:val="2B2338"/>
          <w:sz w:val="21"/>
          <w:szCs w:val="21"/>
        </w:rPr>
        <w:t xml:space="preserve"> spacing — unchanged). Full list in Appendix B.</w:t>
      </w:r>
    </w:p>
    <w:p>
      <w:pPr>
        <w:pStyle w:val="Heading3"/>
        <w:spacing w:after="80" w:before="180"/>
      </w:pPr>
      <w:r>
        <w:rPr>
          <w:b/>
          <w:bCs/>
          <w:color w:val="2B2338"/>
          <w:sz w:val="22"/>
          <w:szCs w:val="22"/>
        </w:rPr>
        <w:t xml:space="preserve">Leave these as-is</w:t>
      </w:r>
    </w:p>
    <w:p>
      <w:pPr>
        <w:pStyle w:val="ListParagraph"/>
        <w:numPr>
          <w:ilvl w:val="0"/>
          <w:numId w:val="1"/>
        </w:numPr>
        <w:spacing w:after="60" w:line="270"/>
      </w:pPr>
      <w:r>
        <w:rPr>
          <w:color w:val="2B2338"/>
          <w:sz w:val="21"/>
          <w:szCs w:val="21"/>
        </w:rPr>
        <w:t xml:space="preserve">The mid-About accent band (</w:t>
      </w:r>
      <w:r>
        <w:rPr>
          <w:rFonts w:ascii="Consolas" w:cs="Consolas" w:eastAsia="Consolas" w:hAnsi="Consolas"/>
          <w:color w:val="3E2C55"/>
          <w:sz w:val="18"/>
          <w:szCs w:val="18"/>
        </w:rPr>
        <w:t xml:space="preserve">about/page.tsx</w:t>
      </w:r>
      <w:r>
        <w:rPr>
          <w:color w:val="2B2338"/>
          <w:sz w:val="21"/>
          <w:szCs w:val="21"/>
        </w:rPr>
        <w:t xml:space="preserve">, the </w:t>
      </w:r>
      <w:r>
        <w:rPr>
          <w:rFonts w:ascii="Consolas" w:cs="Consolas" w:eastAsia="Consolas" w:hAnsi="Consolas"/>
          <w:color w:val="3E2C55"/>
          <w:sz w:val="18"/>
          <w:szCs w:val="18"/>
        </w:rPr>
        <w:t xml:space="preserve">py-24</w:t>
      </w:r>
      <w:r>
        <w:rPr>
          <w:color w:val="2B2338"/>
          <w:sz w:val="21"/>
          <w:szCs w:val="21"/>
        </w:rPr>
        <w:t xml:space="preserve"> section with the Sparkle watermark) is an intentional deep-aubergine content band, not a page banner — do not convert it.</w:t>
      </w:r>
    </w:p>
    <w:p>
      <w:pPr>
        <w:pStyle w:val="ListParagraph"/>
        <w:numPr>
          <w:ilvl w:val="0"/>
          <w:numId w:val="1"/>
        </w:numPr>
        <w:spacing w:after="60" w:line="270"/>
      </w:pPr>
      <w:r>
        <w:rPr>
          <w:color w:val="2B2338"/>
          <w:sz w:val="21"/>
          <w:szCs w:val="21"/>
        </w:rPr>
        <w:t xml:space="preserve">The footer (</w:t>
      </w:r>
      <w:r>
        <w:rPr>
          <w:rFonts w:ascii="Consolas" w:cs="Consolas" w:eastAsia="Consolas" w:hAnsi="Consolas"/>
          <w:color w:val="3E2C55"/>
          <w:sz w:val="18"/>
          <w:szCs w:val="18"/>
        </w:rPr>
        <w:t xml:space="preserve">bg-aubergine</w:t>
      </w:r>
      <w:r>
        <w:rPr>
          <w:color w:val="2B2338"/>
          <w:sz w:val="21"/>
          <w:szCs w:val="21"/>
        </w:rPr>
        <w:t xml:space="preserve">) and image-overlay gradients (hero, resort cards) are correct — leave them.</w:t>
      </w:r>
    </w:p>
    <w:p>
      <w:pPr>
        <w:pBdr>
          <w:left w:val="single" w:color="2E6B4F" w:sz="18" w:space="8"/>
        </w:pBdr>
        <w:shd w:fill="EDF6EF" w:val="clear"/>
        <w:spacing w:after="140" w:before="100"/>
      </w:pPr>
      <w:r>
        <w:rPr>
          <w:b/>
          <w:bCs/>
          <w:color w:val="2E6B4F"/>
          <w:sz w:val="20"/>
          <w:szCs w:val="20"/>
        </w:rPr>
        <w:t xml:space="preserve">Why it likely happened. </w:t>
      </w:r>
      <w:r>
        <w:rPr>
          <w:color w:val="2B2338"/>
          <w:sz w:val="20"/>
          <w:szCs w:val="20"/>
        </w:rPr>
        <w:t xml:space="preserve">The banners were probably standardised to a flat fill during a refactor while the Register page was left on the original gradient — an inconsistency, not an intended redesign. The fix is to standardise the other way: gradient everywhere. Verify with screenshots of each page's top banner after the change; watch header text legibility against the lighter top of the gradient (the header is transparent over the banner).</w:t>
      </w:r>
    </w:p>
    <w:p>
      <w:r>
        <w:br w:type="page"/>
      </w:r>
    </w:p>
    <w:p>
      <w:pPr>
        <w:pStyle w:val="Heading1"/>
        <w:spacing w:after="140" w:before="320"/>
      </w:pPr>
      <w:r>
        <w:rPr>
          <w:b/>
          <w:bCs/>
          <w:color w:val="3E2C55"/>
          <w:sz w:val="30"/>
          <w:szCs w:val="30"/>
        </w:rPr>
        <w:t xml:space="preserve">6.3 About — corrected copy</w:t>
      </w:r>
    </w:p>
    <w:p>
      <w:pPr>
        <w:spacing w:after="120" w:line="276"/>
      </w:pPr>
      <w:r>
        <w:rPr>
          <w:color w:val="2B2338"/>
          <w:sz w:val="21"/>
          <w:szCs w:val="21"/>
        </w:rPr>
        <w:t xml:space="preserve">Applies within the round-2 About rebuild (v1.9 §6.3). These are the exact copy replacements; full RU + EN in Appendix A.</w:t>
      </w:r>
    </w:p>
    <w:p>
      <w:pPr>
        <w:pStyle w:val="ListParagraph"/>
        <w:numPr>
          <w:ilvl w:val="0"/>
          <w:numId w:val="1"/>
        </w:numPr>
        <w:spacing w:after="60" w:line="270"/>
      </w:pPr>
      <w:r>
        <w:rPr>
          <w:color w:val="2B2338"/>
          <w:sz w:val="21"/>
          <w:szCs w:val="21"/>
        </w:rPr>
        <w:t xml:space="preserve">Section title: “The group is already confirmed” → </w:t>
      </w:r>
      <w:r>
        <w:rPr>
          <w:b/>
          <w:bCs/>
          <w:color w:val="2B2338"/>
          <w:sz w:val="21"/>
          <w:szCs w:val="21"/>
        </w:rPr>
        <w:t xml:space="preserve">“How to take part.”</w:t>
      </w:r>
    </w:p>
    <w:p>
      <w:pPr>
        <w:pStyle w:val="ListParagraph"/>
        <w:numPr>
          <w:ilvl w:val="0"/>
          <w:numId w:val="1"/>
        </w:numPr>
        <w:spacing w:after="60" w:line="270"/>
      </w:pPr>
      <w:r>
        <w:rPr>
          <w:color w:val="2B2338"/>
          <w:sz w:val="21"/>
          <w:szCs w:val="21"/>
        </w:rPr>
        <w:t xml:space="preserve">Body: replace the “not a tool to recruit” paragraphs with the merit-based / open-to-interest / multi-destination wording.</w:t>
      </w:r>
    </w:p>
    <w:p>
      <w:pPr>
        <w:pStyle w:val="ListParagraph"/>
        <w:numPr>
          <w:ilvl w:val="0"/>
          <w:numId w:val="1"/>
        </w:numPr>
        <w:spacing w:after="60" w:line="270"/>
      </w:pPr>
      <w:r>
        <w:rPr>
          <w:color w:val="2B2338"/>
          <w:sz w:val="21"/>
          <w:szCs w:val="21"/>
        </w:rPr>
        <w:t xml:space="preserve">Selection Model step 02: “no application process and no lobbying” → “Top-producing agencies are prioritised, and you can register your interest directly.”</w:t>
      </w:r>
    </w:p>
    <w:p>
      <w:pPr>
        <w:pStyle w:val="ListParagraph"/>
        <w:numPr>
          <w:ilvl w:val="0"/>
          <w:numId w:val="1"/>
        </w:numPr>
        <w:spacing w:after="60" w:line="270"/>
      </w:pPr>
      <w:r>
        <w:rPr>
          <w:color w:val="2B2338"/>
          <w:sz w:val="21"/>
          <w:szCs w:val="21"/>
        </w:rPr>
        <w:t xml:space="preserve">Concept paragraph 2: “an ongoing series of tours … [Maldives-led list]” → “programmes across multiple destinations (Maldives, Oman, Kenya and more).”</w:t>
      </w:r>
    </w:p>
    <w:p>
      <w:pPr>
        <w:pStyle w:val="Heading1"/>
        <w:spacing w:after="140" w:before="320"/>
      </w:pPr>
      <w:r>
        <w:rPr>
          <w:b/>
          <w:bCs/>
          <w:color w:val="3E2C55"/>
          <w:sz w:val="30"/>
          <w:szCs w:val="30"/>
        </w:rPr>
        <w:t xml:space="preserve">7. Invitation details — currently missing from the site</w:t>
      </w:r>
    </w:p>
    <w:p>
      <w:pPr>
        <w:spacing w:after="120" w:line="276"/>
      </w:pPr>
      <w:r>
        <w:rPr>
          <w:color w:val="2B2338"/>
          <w:sz w:val="21"/>
          <w:szCs w:val="21"/>
        </w:rPr>
        <w:t xml:space="preserve">Two content blocks from the official invitation appear nowhere on the site yet. Add both to the </w:t>
      </w:r>
      <w:r>
        <w:rPr>
          <w:b/>
          <w:bCs/>
          <w:color w:val="2B2338"/>
          <w:sz w:val="21"/>
          <w:szCs w:val="21"/>
        </w:rPr>
        <w:t xml:space="preserve">tour detail page</w:t>
      </w:r>
      <w:r>
        <w:rPr>
          <w:color w:val="2B2338"/>
          <w:sz w:val="21"/>
          <w:szCs w:val="21"/>
        </w:rPr>
        <w:t xml:space="preserve">, modelled as portal-editable, tour-specific fields (inclusions and terms vary by tour). Populate the TTM Maldives 2026 tour (Tour 2) now; other tours are filled via the portal. Exact RU + EN copy and the data model are in Appendix C.</w:t>
      </w:r>
    </w:p>
    <w:p>
      <w:pPr>
        <w:pStyle w:val="Heading2"/>
        <w:spacing w:after="100" w:before="240"/>
      </w:pPr>
      <w:r>
        <w:rPr>
          <w:b/>
          <w:bCs/>
          <w:color w:val="6E4FA3"/>
          <w:sz w:val="25"/>
          <w:szCs w:val="25"/>
        </w:rPr>
        <w:t xml:space="preserve">7.1 “What's included” — participation package</w:t>
      </w:r>
    </w:p>
    <w:p>
      <w:pPr>
        <w:spacing w:after="120" w:line="276"/>
      </w:pPr>
      <w:r>
        <w:rPr>
          <w:b/>
          <w:bCs/>
          <w:color w:val="FFFFFF"/>
          <w:sz w:val="16"/>
          <w:szCs w:val="16"/>
          <w:shd w:fill="6E4FA3" w:val="clear"/>
        </w:rPr>
        <w:t xml:space="preserve">  NEW  </w:t>
      </w:r>
      <w:r>
        <w:rPr>
          <w:color w:val="2B2338"/>
          <w:sz w:val="21"/>
          <w:szCs w:val="21"/>
        </w:rPr>
        <w:t xml:space="preserve">  A row of icon + label items with fine print, between the tour overview and the itinerary: Registration fee · Accommodation (½ DBL) · Full board / Premium All-Inclusive (at Meyyafushi) · Transfers · Exclusive programme with resort management. Fine print: single-room surcharge on request; international flights &amp; insurance arranged independently; accommodation terms apply only to registered participants of TTM Maldives 2026.</w:t>
      </w:r>
    </w:p>
    <w:p>
      <w:pPr>
        <w:pStyle w:val="Heading2"/>
        <w:spacing w:after="100" w:before="240"/>
      </w:pPr>
      <w:r>
        <w:rPr>
          <w:b/>
          <w:bCs/>
          <w:color w:val="6E4FA3"/>
          <w:sz w:val="25"/>
          <w:szCs w:val="25"/>
        </w:rPr>
        <w:t xml:space="preserve">7.2 “At every resort you will enjoy” — the on-site programme</w:t>
      </w:r>
    </w:p>
    <w:p>
      <w:pPr>
        <w:spacing w:after="120" w:line="276"/>
      </w:pPr>
      <w:r>
        <w:rPr>
          <w:b/>
          <w:bCs/>
          <w:color w:val="FFFFFF"/>
          <w:sz w:val="16"/>
          <w:szCs w:val="16"/>
          <w:shd w:fill="6E4FA3" w:val="clear"/>
        </w:rPr>
        <w:t xml:space="preserve">  NEW  </w:t>
      </w:r>
      <w:r>
        <w:rPr>
          <w:color w:val="2B2338"/>
          <w:sz w:val="21"/>
          <w:szCs w:val="21"/>
        </w:rPr>
        <w:t xml:space="preserve">  A titled list (after the itinerary; optionally mirrored on About): resort inspection; meetings with the resort management team; an engaging business &amp; networking programme; unique content-creation opportunities; destination updates &amp; product information; brainstorming sessions with industry colleagues on resort promotion &amp; sales development.</w:t>
      </w:r>
    </w:p>
    <w:p>
      <w:pPr>
        <w:pBdr>
          <w:left w:val="single" w:color="6E4FA3" w:sz="18" w:space="8"/>
        </w:pBdr>
        <w:shd w:fill="F3ECFB" w:val="clear"/>
        <w:spacing w:after="140" w:before="100"/>
      </w:pPr>
      <w:r>
        <w:rPr>
          <w:b/>
          <w:bCs/>
          <w:color w:val="6E4FA3"/>
          <w:sz w:val="20"/>
          <w:szCs w:val="20"/>
        </w:rPr>
        <w:t xml:space="preserve">Render only when present. </w:t>
      </w:r>
      <w:r>
        <w:rPr>
          <w:color w:val="2B2338"/>
          <w:sz w:val="20"/>
          <w:szCs w:val="20"/>
        </w:rPr>
        <w:t xml:space="preserve">Show each block only when its data exists, so tours without inclusions (Cinnamon, Oman, Kenya until set) don't render an empty section. The on-site programme can be a shared default that every tour inherits, since it's the same everywhere.</w:t>
      </w:r>
    </w:p>
    <w:p>
      <w:r>
        <w:br w:type="page"/>
      </w:r>
    </w:p>
    <w:p>
      <w:pPr>
        <w:pStyle w:val="Heading1"/>
        <w:spacing w:after="140" w:before="320"/>
      </w:pPr>
      <w:r>
        <w:rPr>
          <w:b/>
          <w:bCs/>
          <w:color w:val="3E2C55"/>
          <w:sz w:val="30"/>
          <w:szCs w:val="30"/>
        </w:rPr>
        <w:t xml:space="preserve">8. About “The Value” grid — elevate &amp; animate (client priority)</w:t>
      </w:r>
    </w:p>
    <w:p>
      <w:pPr>
        <w:spacing w:after="120" w:line="276"/>
      </w:pPr>
      <w:r>
        <w:rPr>
          <w:color w:val="2B2338"/>
          <w:sz w:val="21"/>
          <w:szCs w:val="21"/>
        </w:rPr>
        <w:t xml:space="preserve">The six-card “What the platform creates” grid is the section the client most wants visitors to absorb. As built (</w:t>
      </w:r>
      <w:r>
        <w:rPr>
          <w:rFonts w:ascii="Consolas" w:cs="Consolas" w:eastAsia="Consolas" w:hAnsi="Consolas"/>
          <w:color w:val="3E2C55"/>
          <w:sz w:val="18"/>
          <w:szCs w:val="18"/>
        </w:rPr>
        <w:t xml:space="preserve">app/[locale]/about/page.tsx</w:t>
      </w:r>
      <w:r>
        <w:rPr>
          <w:color w:val="2B2338"/>
          <w:sz w:val="21"/>
          <w:szCs w:val="21"/>
        </w:rPr>
        <w:t xml:space="preserve">, the </w:t>
      </w:r>
      <w:r>
        <w:rPr>
          <w:rFonts w:ascii="Consolas" w:cs="Consolas" w:eastAsia="Consolas" w:hAnsi="Consolas"/>
          <w:color w:val="3E2C55"/>
          <w:sz w:val="18"/>
          <w:szCs w:val="18"/>
        </w:rPr>
        <w:t xml:space="preserve">valueGrid</w:t>
      </w:r>
      <w:r>
        <w:rPr>
          <w:color w:val="2B2338"/>
          <w:sz w:val="21"/>
          <w:szCs w:val="21"/>
        </w:rPr>
        <w:t xml:space="preserve"> section) it is six equal </w:t>
      </w:r>
      <w:r>
        <w:rPr>
          <w:rFonts w:ascii="Consolas" w:cs="Consolas" w:eastAsia="Consolas" w:hAnsi="Consolas"/>
          <w:color w:val="3E2C55"/>
          <w:sz w:val="18"/>
          <w:szCs w:val="18"/>
        </w:rPr>
        <w:t xml:space="preserve">bg-ivory</w:t>
      </w:r>
      <w:r>
        <w:rPr>
          <w:color w:val="2B2338"/>
          <w:sz w:val="21"/>
          <w:szCs w:val="21"/>
        </w:rPr>
        <w:t xml:space="preserve"> cards, each with the same gold </w:t>
      </w:r>
      <w:r>
        <w:rPr>
          <w:rFonts w:ascii="Consolas" w:cs="Consolas" w:eastAsia="Consolas" w:hAnsi="Consolas"/>
          <w:color w:val="3E2C55"/>
          <w:sz w:val="18"/>
          <w:szCs w:val="18"/>
        </w:rPr>
        <w:t xml:space="preserve">Sparkle</w:t>
      </w:r>
      <w:r>
        <w:rPr>
          <w:color w:val="2B2338"/>
          <w:sz w:val="21"/>
          <w:szCs w:val="21"/>
        </w:rPr>
        <w:t xml:space="preserve"> icon, wrapped in </w:t>
      </w:r>
      <w:r>
        <w:rPr>
          <w:rFonts w:ascii="Consolas" w:cs="Consolas" w:eastAsia="Consolas" w:hAnsi="Consolas"/>
          <w:color w:val="3E2C55"/>
          <w:sz w:val="18"/>
          <w:szCs w:val="18"/>
        </w:rPr>
        <w:t xml:space="preserve">Reveal</w:t>
      </w:r>
      <w:r>
        <w:rPr>
          <w:color w:val="2B2338"/>
          <w:sz w:val="21"/>
          <w:szCs w:val="21"/>
        </w:rPr>
        <w:t xml:space="preserve"> with a uniform staggered fade. The goal: make it a section people stop and read.</w:t>
      </w:r>
    </w:p>
    <w:p>
      <w:pPr>
        <w:pStyle w:val="Heading2"/>
        <w:spacing w:after="100" w:before="240"/>
      </w:pPr>
      <w:r>
        <w:rPr>
          <w:b/>
          <w:bCs/>
          <w:color w:val="6E4FA3"/>
          <w:sz w:val="25"/>
          <w:szCs w:val="25"/>
        </w:rPr>
        <w:t xml:space="preserve">8.1 Why it reads flat</w:t>
      </w:r>
    </w:p>
    <w:p>
      <w:pPr>
        <w:pStyle w:val="ListParagraph"/>
        <w:numPr>
          <w:ilvl w:val="0"/>
          <w:numId w:val="1"/>
        </w:numPr>
        <w:spacing w:after="60" w:line="270"/>
      </w:pPr>
      <w:r>
        <w:rPr>
          <w:color w:val="2B2338"/>
          <w:sz w:val="21"/>
          <w:szCs w:val="21"/>
        </w:rPr>
        <w:t xml:space="preserve">Six equal cards with the identical Sparkle icon — nothing distinguishes the values, so the eye skims.</w:t>
      </w:r>
    </w:p>
    <w:p>
      <w:pPr>
        <w:pStyle w:val="ListParagraph"/>
        <w:numPr>
          <w:ilvl w:val="0"/>
          <w:numId w:val="1"/>
        </w:numPr>
        <w:spacing w:after="60" w:line="270"/>
      </w:pPr>
      <w:r>
        <w:rPr>
          <w:color w:val="2B2338"/>
          <w:sz w:val="21"/>
          <w:szCs w:val="21"/>
        </w:rPr>
        <w:t xml:space="preserve">No hover interaction; no reward for engaging.</w:t>
      </w:r>
    </w:p>
    <w:p>
      <w:pPr>
        <w:pStyle w:val="ListParagraph"/>
        <w:numPr>
          <w:ilvl w:val="0"/>
          <w:numId w:val="1"/>
        </w:numPr>
        <w:spacing w:after="60" w:line="270"/>
      </w:pPr>
      <w:r>
        <w:rPr>
          <w:color w:val="2B2338"/>
          <w:sz w:val="21"/>
          <w:szCs w:val="21"/>
        </w:rPr>
        <w:t xml:space="preserve">The entrance is a uniform fade/slide (Reveal, delay i×0.06) — no choreography or focal emphasis.</w:t>
      </w:r>
    </w:p>
    <w:p>
      <w:pPr>
        <w:pStyle w:val="ListParagraph"/>
        <w:numPr>
          <w:ilvl w:val="0"/>
          <w:numId w:val="1"/>
        </w:numPr>
        <w:spacing w:after="60" w:line="270"/>
      </w:pPr>
      <w:r>
        <w:rPr>
          <w:color w:val="2B2338"/>
          <w:sz w:val="21"/>
          <w:szCs w:val="21"/>
        </w:rPr>
        <w:t xml:space="preserve">Equal-size 3×2 grid → monotonous rhythm, no focal point.</w:t>
      </w:r>
    </w:p>
    <w:p>
      <w:pPr>
        <w:pStyle w:val="Heading2"/>
        <w:spacing w:after="100" w:before="240"/>
      </w:pPr>
      <w:r>
        <w:rPr>
          <w:b/>
          <w:bCs/>
          <w:color w:val="6E4FA3"/>
          <w:sz w:val="25"/>
          <w:szCs w:val="25"/>
        </w:rPr>
        <w:t xml:space="preserve">8.2 Design direction</w:t>
      </w:r>
    </w:p>
    <w:p>
      <w:pPr>
        <w:pStyle w:val="ListParagraph"/>
        <w:numPr>
          <w:ilvl w:val="0"/>
          <w:numId w:val="1"/>
        </w:numPr>
        <w:spacing w:after="60" w:line="270"/>
      </w:pPr>
      <w:r>
        <w:rPr>
          <w:b/>
          <w:bCs/>
          <w:color w:val="2B2338"/>
          <w:sz w:val="21"/>
          <w:szCs w:val="21"/>
        </w:rPr>
        <w:t xml:space="preserve">Distinct iconography per value (biggest win) </w:t>
      </w:r>
      <w:r>
        <w:rPr>
          <w:color w:val="2B2338"/>
          <w:sz w:val="21"/>
          <w:szCs w:val="21"/>
        </w:rPr>
        <w:t xml:space="preserve">— replace the six identical sparkles with six meaningful thin line icons: awareness (broadcast/eye), connections (network), media (camera/play), sales (upward chart), partnerships (handshake), results (checked bar). Keep the sparkle as a brand accent, not the sole icon.</w:t>
      </w:r>
    </w:p>
    <w:p>
      <w:pPr>
        <w:pStyle w:val="ListParagraph"/>
        <w:numPr>
          <w:ilvl w:val="0"/>
          <w:numId w:val="1"/>
        </w:numPr>
        <w:spacing w:after="60" w:line="270"/>
      </w:pPr>
      <w:r>
        <w:rPr>
          <w:b/>
          <w:bCs/>
          <w:color w:val="2B2338"/>
          <w:sz w:val="21"/>
          <w:szCs w:val="21"/>
        </w:rPr>
        <w:t xml:space="preserve">Break the monotony </w:t>
      </w:r>
      <w:r>
        <w:rPr>
          <w:color w:val="2B2338"/>
          <w:sz w:val="21"/>
          <w:szCs w:val="21"/>
        </w:rPr>
        <w:t xml:space="preserve">— a bento layout (make one or two cards larger, e.g. “Measurable Results”), or number the values 01–06 for a sense of progression.</w:t>
      </w:r>
    </w:p>
    <w:p>
      <w:pPr>
        <w:pStyle w:val="ListParagraph"/>
        <w:numPr>
          <w:ilvl w:val="0"/>
          <w:numId w:val="1"/>
        </w:numPr>
        <w:spacing w:after="60" w:line="270"/>
      </w:pPr>
      <w:r>
        <w:rPr>
          <w:b/>
          <w:bCs/>
          <w:color w:val="2B2338"/>
          <w:sz w:val="21"/>
          <w:szCs w:val="21"/>
        </w:rPr>
        <w:t xml:space="preserve">Add depth + a focal accent </w:t>
      </w:r>
      <w:r>
        <w:rPr>
          <w:color w:val="2B2338"/>
          <w:sz w:val="21"/>
          <w:szCs w:val="21"/>
        </w:rPr>
        <w:t xml:space="preserve">— clearer card elevation (per the §4 contrast work), a gold top-rule or corner accent, stronger title/body hierarchy.</w:t>
      </w:r>
    </w:p>
    <w:p>
      <w:pPr>
        <w:pStyle w:val="ListParagraph"/>
        <w:numPr>
          <w:ilvl w:val="0"/>
          <w:numId w:val="1"/>
        </w:numPr>
        <w:spacing w:after="60" w:line="270"/>
      </w:pPr>
      <w:r>
        <w:rPr>
          <w:b/>
          <w:bCs/>
          <w:color w:val="2B2338"/>
          <w:sz w:val="21"/>
          <w:szCs w:val="21"/>
        </w:rPr>
        <w:t xml:space="preserve">Optional stat </w:t>
      </w:r>
      <w:r>
        <w:rPr>
          <w:color w:val="2B2338"/>
          <w:sz w:val="21"/>
          <w:szCs w:val="21"/>
        </w:rPr>
        <w:t xml:space="preserve">— a supporting number with a count-up on a card or two to make “measurable results” tangible.</w:t>
      </w:r>
    </w:p>
    <w:p>
      <w:pPr>
        <w:pStyle w:val="Heading2"/>
        <w:spacing w:after="100" w:before="240"/>
      </w:pPr>
      <w:r>
        <w:rPr>
          <w:b/>
          <w:bCs/>
          <w:color w:val="6E4FA3"/>
          <w:sz w:val="25"/>
          <w:szCs w:val="25"/>
        </w:rPr>
        <w:t xml:space="preserve">8.3 Motion (Framer Motion; honour prefers-reduced-motion)</w:t>
      </w:r>
    </w:p>
    <w:p>
      <w:pPr>
        <w:pStyle w:val="ListParagraph"/>
        <w:numPr>
          <w:ilvl w:val="0"/>
          <w:numId w:val="1"/>
        </w:numPr>
        <w:spacing w:after="60" w:line="270"/>
      </w:pPr>
      <w:r>
        <w:rPr>
          <w:b/>
          <w:bCs/>
          <w:color w:val="2B2338"/>
          <w:sz w:val="21"/>
          <w:szCs w:val="21"/>
        </w:rPr>
        <w:t xml:space="preserve">Choreographed entrance </w:t>
      </w:r>
      <w:r>
        <w:rPr>
          <w:color w:val="2B2338"/>
          <w:sz w:val="21"/>
          <w:szCs w:val="21"/>
        </w:rPr>
        <w:t xml:space="preserve">— a parent container with staggerChildren so cards rise + fade (and slightly scale) in sequence, more deliberate than six independent Reveals.</w:t>
      </w:r>
    </w:p>
    <w:p>
      <w:pPr>
        <w:pStyle w:val="ListParagraph"/>
        <w:numPr>
          <w:ilvl w:val="0"/>
          <w:numId w:val="1"/>
        </w:numPr>
        <w:spacing w:after="60" w:line="270"/>
      </w:pPr>
      <w:r>
        <w:rPr>
          <w:b/>
          <w:bCs/>
          <w:color w:val="2B2338"/>
          <w:sz w:val="21"/>
          <w:szCs w:val="21"/>
        </w:rPr>
        <w:t xml:space="preserve">Icon entrance </w:t>
      </w:r>
      <w:r>
        <w:rPr>
          <w:color w:val="2B2338"/>
          <w:sz w:val="21"/>
          <w:szCs w:val="21"/>
        </w:rPr>
        <w:t xml:space="preserve">— SVG path draw-on or a small spring pop/rotate as each card appears.</w:t>
      </w:r>
    </w:p>
    <w:p>
      <w:pPr>
        <w:pStyle w:val="ListParagraph"/>
        <w:numPr>
          <w:ilvl w:val="0"/>
          <w:numId w:val="1"/>
        </w:numPr>
        <w:spacing w:after="60" w:line="270"/>
      </w:pPr>
      <w:r>
        <w:rPr>
          <w:b/>
          <w:bCs/>
          <w:color w:val="2B2338"/>
          <w:sz w:val="21"/>
          <w:szCs w:val="21"/>
        </w:rPr>
        <w:t xml:space="preserve">Hover micro-interactions </w:t>
      </w:r>
      <w:r>
        <w:rPr>
          <w:color w:val="2B2338"/>
          <w:sz w:val="21"/>
          <w:szCs w:val="21"/>
        </w:rPr>
        <w:t xml:space="preserve">— spring lift, icon scale/rotate, a gold underline/top-rule sweep, a subtle background sheen; interruptible springs for a premium, physical feel.</w:t>
      </w:r>
    </w:p>
    <w:p>
      <w:pPr>
        <w:pStyle w:val="ListParagraph"/>
        <w:numPr>
          <w:ilvl w:val="0"/>
          <w:numId w:val="1"/>
        </w:numPr>
        <w:spacing w:after="60" w:line="270"/>
      </w:pPr>
      <w:r>
        <w:rPr>
          <w:b/>
          <w:bCs/>
          <w:color w:val="2B2338"/>
          <w:sz w:val="21"/>
          <w:szCs w:val="21"/>
        </w:rPr>
        <w:t xml:space="preserve">Keep it slow and refined </w:t>
      </w:r>
      <w:r>
        <w:rPr>
          <w:color w:val="2B2338"/>
          <w:sz w:val="21"/>
          <w:szCs w:val="21"/>
        </w:rPr>
        <w:t xml:space="preserve">to match the brand motion — never flashy; reduced-motion falls back to a simple fade (the site already has a noscript reveal fallback).</w:t>
      </w:r>
    </w:p>
    <w:p>
      <w:pPr>
        <w:pStyle w:val="Heading2"/>
        <w:spacing w:after="100" w:before="240"/>
      </w:pPr>
      <w:r>
        <w:rPr>
          <w:b/>
          <w:bCs/>
          <w:color w:val="6E4FA3"/>
          <w:sz w:val="25"/>
          <w:szCs w:val="25"/>
        </w:rPr>
        <w:t xml:space="preserve">8.4 Skills to use for the best result</w:t>
      </w:r>
    </w:p>
    <w:p>
      <w:pPr>
        <w:spacing w:after="120" w:line="276"/>
      </w:pPr>
      <w:r>
        <w:rPr>
          <w:color w:val="2B2338"/>
          <w:sz w:val="21"/>
          <w:szCs w:val="21"/>
        </w:rPr>
        <w:t xml:space="preserve">The repo already carries the right skills in </w:t>
      </w:r>
      <w:r>
        <w:rPr>
          <w:rFonts w:ascii="Consolas" w:cs="Consolas" w:eastAsia="Consolas" w:hAnsi="Consolas"/>
          <w:color w:val="3E2C55"/>
          <w:sz w:val="18"/>
          <w:szCs w:val="18"/>
        </w:rPr>
        <w:t xml:space="preserve">.claude/skills/</w:t>
      </w:r>
      <w:r>
        <w:rPr>
          <w:color w:val="2B2338"/>
          <w:sz w:val="21"/>
          <w:szCs w:val="21"/>
        </w:rPr>
        <w:t xml:space="preserve">. Recommended sequence:</w:t>
      </w:r>
    </w:p>
    <w:p>
      <w:pPr>
        <w:pStyle w:val="ListParagraph"/>
        <w:numPr>
          <w:ilvl w:val="0"/>
          <w:numId w:val="1"/>
        </w:numPr>
        <w:spacing w:after="60" w:line="270"/>
      </w:pPr>
      <w:r>
        <w:rPr>
          <w:b/>
          <w:bCs/>
          <w:color w:val="2B2338"/>
          <w:sz w:val="21"/>
          <w:szCs w:val="21"/>
        </w:rPr>
        <w:t xml:space="preserve">1) impeccable </w:t>
      </w:r>
      <w:r>
        <w:rPr>
          <w:color w:val="2B2338"/>
          <w:sz w:val="21"/>
          <w:szCs w:val="21"/>
        </w:rPr>
        <w:t xml:space="preserve">— its “bolder”/“delight” flow is exactly “make this bland section get attention”: hierarchy, focal point, micro-interactions.</w:t>
      </w:r>
    </w:p>
    <w:p>
      <w:pPr>
        <w:pStyle w:val="ListParagraph"/>
        <w:numPr>
          <w:ilvl w:val="0"/>
          <w:numId w:val="1"/>
        </w:numPr>
        <w:spacing w:after="60" w:line="270"/>
      </w:pPr>
      <w:r>
        <w:rPr>
          <w:b/>
          <w:bCs/>
          <w:color w:val="2B2338"/>
          <w:sz w:val="21"/>
          <w:szCs w:val="21"/>
        </w:rPr>
        <w:t xml:space="preserve">2) taste-skill (design-taste-frontend) </w:t>
      </w:r>
      <w:r>
        <w:rPr>
          <w:color w:val="2B2338"/>
          <w:sz w:val="21"/>
          <w:szCs w:val="21"/>
        </w:rPr>
        <w:t xml:space="preserve">— keeps the redesign from coming out generic/templated.</w:t>
      </w:r>
    </w:p>
    <w:p>
      <w:pPr>
        <w:pStyle w:val="ListParagraph"/>
        <w:numPr>
          <w:ilvl w:val="0"/>
          <w:numId w:val="1"/>
        </w:numPr>
        <w:spacing w:after="60" w:line="270"/>
      </w:pPr>
      <w:r>
        <w:rPr>
          <w:b/>
          <w:bCs/>
          <w:color w:val="2B2338"/>
          <w:sz w:val="21"/>
          <w:szCs w:val="21"/>
        </w:rPr>
        <w:t xml:space="preserve">3) emil-design-eng </w:t>
      </w:r>
      <w:r>
        <w:rPr>
          <w:color w:val="2B2338"/>
          <w:sz w:val="21"/>
          <w:szCs w:val="21"/>
        </w:rPr>
        <w:t xml:space="preserve">— Emil Kowalski's animation decisions and the invisible polish on hover/entrance states.</w:t>
      </w:r>
    </w:p>
    <w:p>
      <w:pPr>
        <w:pStyle w:val="ListParagraph"/>
        <w:numPr>
          <w:ilvl w:val="0"/>
          <w:numId w:val="1"/>
        </w:numPr>
        <w:spacing w:after="60" w:line="270"/>
      </w:pPr>
      <w:r>
        <w:rPr>
          <w:b/>
          <w:bCs/>
          <w:color w:val="2B2338"/>
          <w:sz w:val="21"/>
          <w:szCs w:val="21"/>
        </w:rPr>
        <w:t xml:space="preserve">4) apple-design </w:t>
      </w:r>
      <w:r>
        <w:rPr>
          <w:color w:val="2B2338"/>
          <w:sz w:val="21"/>
          <w:szCs w:val="21"/>
        </w:rPr>
        <w:t xml:space="preserve">— physical, spring-based, interruptible motion so it reads premium, not flashy.</w:t>
      </w:r>
    </w:p>
    <w:p>
      <w:pPr>
        <w:pStyle w:val="ListParagraph"/>
        <w:numPr>
          <w:ilvl w:val="0"/>
          <w:numId w:val="1"/>
        </w:numPr>
        <w:spacing w:after="60" w:line="270"/>
      </w:pPr>
      <w:r>
        <w:rPr>
          <w:b/>
          <w:bCs/>
          <w:color w:val="2B2338"/>
          <w:sz w:val="21"/>
          <w:szCs w:val="21"/>
        </w:rPr>
        <w:t xml:space="preserve">5) find-animation-opportunities → improve-animations → review-animations </w:t>
      </w:r>
      <w:r>
        <w:rPr>
          <w:color w:val="2B2338"/>
          <w:sz w:val="21"/>
          <w:szCs w:val="21"/>
        </w:rPr>
        <w:t xml:space="preserve">— the animation identify / refine / QA loop for the final pass.</w:t>
      </w:r>
    </w:p>
    <w:p>
      <w:pPr>
        <w:pBdr>
          <w:left w:val="single" w:color="6E4FA3" w:sz="18" w:space="8"/>
        </w:pBdr>
        <w:shd w:fill="F3ECFB" w:val="clear"/>
        <w:spacing w:after="140" w:before="100"/>
      </w:pPr>
      <w:r>
        <w:rPr>
          <w:b/>
          <w:bCs/>
          <w:color w:val="6E4FA3"/>
          <w:sz w:val="20"/>
          <w:szCs w:val="20"/>
        </w:rPr>
        <w:t xml:space="preserve">How to drive it in Claude Code. </w:t>
      </w:r>
      <w:r>
        <w:rPr>
          <w:color w:val="2B2338"/>
          <w:sz w:val="20"/>
          <w:szCs w:val="20"/>
        </w:rPr>
        <w:t xml:space="preserve">Redesign first (impeccable + taste-skill), then craft the motion (emil-design-eng + apple-design), then refine with the animation review skills. Ask it to screenshot before/after and verify the reduced-motion fallback. Apply the same treatment to the six value cards only — don't over-animate the rest of the page.</w:t>
      </w:r>
    </w:p>
    <w:p>
      <w:r>
        <w:br w:type="page"/>
      </w:r>
    </w:p>
    <w:p>
      <w:pPr>
        <w:pStyle w:val="Heading1"/>
        <w:spacing w:after="140" w:before="320"/>
      </w:pPr>
      <w:r>
        <w:rPr>
          <w:b/>
          <w:bCs/>
          <w:color w:val="3E2C55"/>
          <w:sz w:val="30"/>
          <w:szCs w:val="30"/>
        </w:rPr>
        <w:t xml:space="preserve">Everything else — unchanged from v1.9</w:t>
      </w:r>
    </w:p>
    <w:p>
      <w:pPr>
        <w:spacing w:after="120" w:line="276"/>
      </w:pPr>
      <w:r>
        <w:rPr>
          <w:color w:val="2B2338"/>
          <w:sz w:val="21"/>
          <w:szCs w:val="21"/>
        </w:rPr>
        <w:t xml:space="preserve">All other sections (audience, programmes/itineraries, palette &amp; typography, destinations restructure, forms &amp; RU/EN split, back end &amp; portal, hosting &amp; handover, performance/SEO, and the full Security section) are as specified in v1.9. v2.0 changes only what is above — positioning copy, the page-banner gradient, the invitation details, and the value-grid elevation. The v1.9 open items and asset list still stand; add the two items below.</w:t>
      </w:r>
    </w:p>
    <w:p>
      <w:pPr>
        <w:pStyle w:val="ListParagraph"/>
        <w:numPr>
          <w:ilvl w:val="0"/>
          <w:numId w:val="1"/>
        </w:numPr>
        <w:spacing w:after="60" w:line="270"/>
      </w:pPr>
      <w:r>
        <w:rPr>
          <w:color w:val="2B2338"/>
          <w:sz w:val="21"/>
          <w:szCs w:val="21"/>
        </w:rPr>
        <w:t xml:space="preserve">Confirm the corrected “How to take part” copy (RU + EN) reads well for the client's tone.</w:t>
      </w:r>
    </w:p>
    <w:p>
      <w:pPr>
        <w:pStyle w:val="ListParagraph"/>
        <w:numPr>
          <w:ilvl w:val="0"/>
          <w:numId w:val="1"/>
        </w:numPr>
        <w:spacing w:after="60" w:line="270"/>
      </w:pPr>
      <w:r>
        <w:rPr>
          <w:color w:val="2B2338"/>
          <w:sz w:val="21"/>
          <w:szCs w:val="21"/>
        </w:rPr>
        <w:t xml:space="preserve">After the gradient change, re-screenshot every page banner and confirm header legibility.</w:t>
      </w:r>
    </w:p>
    <w:p>
      <w:r>
        <w:br w:type="page"/>
      </w:r>
    </w:p>
    <w:p>
      <w:pPr>
        <w:pStyle w:val="Heading1"/>
        <w:spacing w:after="140" w:before="320"/>
      </w:pPr>
      <w:r>
        <w:rPr>
          <w:b/>
          <w:bCs/>
          <w:color w:val="3E2C55"/>
          <w:sz w:val="30"/>
          <w:szCs w:val="30"/>
        </w:rPr>
        <w:t xml:space="preserve">Appendix A — Corrected copy (RU + EN)</w:t>
      </w:r>
    </w:p>
    <w:p>
      <w:pPr>
        <w:pStyle w:val="Heading2"/>
        <w:spacing w:after="100" w:before="240"/>
      </w:pPr>
      <w:r>
        <w:rPr>
          <w:b/>
          <w:bCs/>
          <w:color w:val="6E4FA3"/>
          <w:sz w:val="25"/>
          <w:szCs w:val="25"/>
        </w:rPr>
        <w:t xml:space="preserve">A.1 About → “How to take part” (was “The group is already confirmed”)</w:t>
      </w:r>
    </w:p>
    <w:p>
      <w:pPr>
        <w:pStyle w:val="Heading3"/>
        <w:spacing w:after="80" w:before="180"/>
      </w:pPr>
      <w:r>
        <w:rPr>
          <w:b/>
          <w:bCs/>
          <w:color w:val="2B2338"/>
          <w:sz w:val="22"/>
          <w:szCs w:val="22"/>
        </w:rPr>
        <w:t xml:space="preserve">English</w:t>
      </w:r>
    </w:p>
    <w:p>
      <w:pPr>
        <w:spacing w:after="120" w:line="276"/>
      </w:pPr>
      <w:r>
        <w:rPr>
          <w:b/>
          <w:bCs/>
          <w:color w:val="2B2338"/>
          <w:sz w:val="21"/>
          <w:szCs w:val="21"/>
        </w:rPr>
        <w:t xml:space="preserve">Title: </w:t>
      </w:r>
      <w:r>
        <w:rPr>
          <w:color w:val="2B2338"/>
          <w:sz w:val="21"/>
          <w:szCs w:val="21"/>
        </w:rPr>
        <w:t xml:space="preserve">How to take part</w:t>
      </w:r>
    </w:p>
    <w:p>
      <w:pPr>
        <w:spacing w:after="120" w:line="276"/>
      </w:pPr>
      <w:r>
        <w:rPr>
          <w:b/>
          <w:bCs/>
          <w:color w:val="2B2338"/>
          <w:sz w:val="21"/>
          <w:szCs w:val="21"/>
        </w:rPr>
        <w:t xml:space="preserve">Paragraph 1: </w:t>
      </w:r>
      <w:r>
        <w:rPr>
          <w:color w:val="2B2338"/>
          <w:sz w:val="21"/>
          <w:szCs w:val="21"/>
        </w:rPr>
        <w:t xml:space="preserve">We Present is a merit-based programme: participation is driven by each agency's production — the room-nights it delivers across the Russia and CIS market. Every edition brings a selected group of partners to a destination — the Maldives, Oman, Kenya and more — to experience its resorts first-hand and connect with the wider industry.</w:t>
      </w:r>
    </w:p>
    <w:p>
      <w:pPr>
        <w:spacing w:after="120" w:line="276"/>
      </w:pPr>
      <w:r>
        <w:rPr>
          <w:b/>
          <w:bCs/>
          <w:color w:val="2B2338"/>
          <w:sz w:val="21"/>
          <w:szCs w:val="21"/>
        </w:rPr>
        <w:t xml:space="preserve">Paragraph 2: </w:t>
      </w:r>
      <w:r>
        <w:rPr>
          <w:color w:val="2B2338"/>
          <w:sz w:val="21"/>
          <w:szCs w:val="21"/>
        </w:rPr>
        <w:t xml:space="preserve">If you'd like to join a future edition, you can get in touch through this site. Our team reviews every enquiry and confirms the group for each programme as its destination and dates take shape — so the website is both where the programme lives and where partners begin the conversation.</w:t>
      </w:r>
    </w:p>
    <w:p>
      <w:pPr>
        <w:pStyle w:val="Heading3"/>
        <w:spacing w:after="80" w:before="180"/>
      </w:pPr>
      <w:r>
        <w:rPr>
          <w:b/>
          <w:bCs/>
          <w:color w:val="2B2338"/>
          <w:sz w:val="22"/>
          <w:szCs w:val="22"/>
        </w:rPr>
        <w:t xml:space="preserve">Russian</w:t>
      </w:r>
    </w:p>
    <w:p>
      <w:pPr>
        <w:spacing w:after="120" w:line="276"/>
      </w:pPr>
      <w:r>
        <w:rPr>
          <w:b/>
          <w:bCs/>
          <w:color w:val="2B2338"/>
          <w:sz w:val="21"/>
          <w:szCs w:val="21"/>
        </w:rPr>
        <w:t xml:space="preserve">Заголовок: </w:t>
      </w:r>
      <w:r>
        <w:rPr>
          <w:color w:val="2B2338"/>
          <w:sz w:val="21"/>
          <w:szCs w:val="21"/>
        </w:rPr>
        <w:t xml:space="preserve">Как принять участие</w:t>
      </w:r>
    </w:p>
    <w:p>
      <w:pPr>
        <w:spacing w:after="120" w:line="276"/>
      </w:pPr>
      <w:r>
        <w:rPr>
          <w:b/>
          <w:bCs/>
          <w:color w:val="2B2338"/>
          <w:sz w:val="21"/>
          <w:szCs w:val="21"/>
        </w:rPr>
        <w:t xml:space="preserve">Абзац 1: </w:t>
      </w:r>
      <w:r>
        <w:rPr>
          <w:color w:val="2B2338"/>
          <w:sz w:val="21"/>
          <w:szCs w:val="21"/>
        </w:rPr>
        <w:t xml:space="preserve">We Present — программа, основанная на результатах: участие определяется объёмом продаж агентства (количеством номеро-ночей) на рынке России и СНГ. Каждый выпуск собирает избранную группу партнёров на одном направлении — Мальдивы, Оман, Кения и другие — чтобы лично познакомиться с курортами и наладить связи в индустрии.</w:t>
      </w:r>
    </w:p>
    <w:p>
      <w:pPr>
        <w:spacing w:after="120" w:line="276"/>
      </w:pPr>
      <w:r>
        <w:rPr>
          <w:b/>
          <w:bCs/>
          <w:color w:val="2B2338"/>
          <w:sz w:val="21"/>
          <w:szCs w:val="21"/>
        </w:rPr>
        <w:t xml:space="preserve">Абзац 2: </w:t>
      </w:r>
      <w:r>
        <w:rPr>
          <w:color w:val="2B2338"/>
          <w:sz w:val="21"/>
          <w:szCs w:val="21"/>
        </w:rPr>
        <w:t xml:space="preserve">Если вы хотите присоединиться к одному из будущих выпусков, вы можете оставить заявку на сайте. Наша команда рассматривает каждую заявку и формирует группу для каждой программы по мере определения направления и дат — сайт одновременно и витрина программы, и точка входа для партнёров.</w:t>
      </w:r>
    </w:p>
    <w:p>
      <w:pPr>
        <w:pBdr>
          <w:left w:val="single" w:color="6E4FA3" w:sz="18" w:space="8"/>
        </w:pBdr>
        <w:shd w:fill="F3ECFB" w:val="clear"/>
        <w:spacing w:after="140" w:before="100"/>
      </w:pPr>
      <w:r>
        <w:rPr>
          <w:b/>
          <w:bCs/>
          <w:color w:val="6E4FA3"/>
          <w:sz w:val="20"/>
          <w:szCs w:val="20"/>
        </w:rPr>
        <w:t xml:space="preserve">Locale nuance. </w:t>
      </w:r>
      <w:r>
        <w:rPr>
          <w:color w:val="2B2338"/>
          <w:sz w:val="20"/>
          <w:szCs w:val="20"/>
        </w:rPr>
        <w:t xml:space="preserve">EN uses “get in touch” (matching the EN contact-only decision from v1.9 §8.6); RU uses “оставить заявку” (the full RU sign-up form). Keep this distinction.</w:t>
      </w:r>
    </w:p>
    <w:p>
      <w:pPr>
        <w:pStyle w:val="Heading2"/>
        <w:spacing w:after="100" w:before="240"/>
      </w:pPr>
      <w:r>
        <w:rPr>
          <w:b/>
          <w:bCs/>
          <w:color w:val="6E4FA3"/>
          <w:sz w:val="25"/>
          <w:szCs w:val="25"/>
        </w:rPr>
        <w:t xml:space="preserve">A.2 Selection Model — step 02</w:t>
      </w:r>
    </w:p>
    <w:p>
      <w:pPr>
        <w:spacing w:after="120" w:line="276"/>
      </w:pPr>
      <w:r>
        <w:rPr>
          <w:b/>
          <w:bCs/>
          <w:color w:val="2B2338"/>
          <w:sz w:val="21"/>
          <w:szCs w:val="21"/>
        </w:rPr>
        <w:t xml:space="preserve">EN — was: </w:t>
      </w:r>
      <w:r>
        <w:rPr>
          <w:color w:val="2B2338"/>
          <w:sz w:val="21"/>
          <w:szCs w:val="21"/>
        </w:rPr>
        <w:t xml:space="preserve">“Top-producing agencies are invited to nominate a representative for the upcoming edition, with no application process and no lobbying.”</w:t>
      </w:r>
    </w:p>
    <w:p>
      <w:pPr>
        <w:spacing w:after="120" w:line="276"/>
      </w:pPr>
      <w:r>
        <w:rPr>
          <w:b/>
          <w:bCs/>
          <w:color w:val="2B2338"/>
          <w:sz w:val="21"/>
          <w:szCs w:val="21"/>
        </w:rPr>
        <w:t xml:space="preserve">EN — new: </w:t>
      </w:r>
      <w:r>
        <w:rPr>
          <w:color w:val="2B2338"/>
          <w:sz w:val="21"/>
          <w:szCs w:val="21"/>
        </w:rPr>
        <w:t xml:space="preserve">Top-producing agencies are prioritised for each edition — and you can register your interest directly through the site.</w:t>
      </w:r>
    </w:p>
    <w:p>
      <w:pPr>
        <w:spacing w:after="120" w:line="276"/>
      </w:pPr>
      <w:r>
        <w:rPr>
          <w:b/>
          <w:bCs/>
          <w:color w:val="2B2338"/>
          <w:sz w:val="21"/>
          <w:szCs w:val="21"/>
        </w:rPr>
        <w:t xml:space="preserve">RU — new: </w:t>
      </w:r>
      <w:r>
        <w:rPr>
          <w:color w:val="2B2338"/>
          <w:sz w:val="21"/>
          <w:szCs w:val="21"/>
        </w:rPr>
        <w:t xml:space="preserve">Приоритет отдаётся агентствам с наибольшими показателями продаж — и вы можете оставить заявку напрямую на сайте.</w:t>
      </w:r>
    </w:p>
    <w:p>
      <w:pPr>
        <w:pStyle w:val="Heading2"/>
        <w:spacing w:after="100" w:before="240"/>
      </w:pPr>
      <w:r>
        <w:rPr>
          <w:b/>
          <w:bCs/>
          <w:color w:val="6E4FA3"/>
          <w:sz w:val="25"/>
          <w:szCs w:val="25"/>
        </w:rPr>
        <w:t xml:space="preserve">A.3 Concept — paragraph 2 (multi-destination)</w:t>
      </w:r>
    </w:p>
    <w:p>
      <w:pPr>
        <w:spacing w:after="120" w:line="276"/>
      </w:pPr>
      <w:r>
        <w:rPr>
          <w:b/>
          <w:bCs/>
          <w:color w:val="2B2338"/>
          <w:sz w:val="21"/>
          <w:szCs w:val="21"/>
        </w:rPr>
        <w:t xml:space="preserve">EN — new: </w:t>
      </w:r>
      <w:r>
        <w:rPr>
          <w:color w:val="2B2338"/>
          <w:sz w:val="21"/>
          <w:szCs w:val="21"/>
        </w:rPr>
        <w:t xml:space="preserve">Rather than a single event, We Present runs an ongoing series of programmes across multiple destinations — the Maldives, Oman, Kenya and more — each bringing a selected group of partners together to experience a destination first-hand and take part in key industry moments.</w:t>
      </w:r>
    </w:p>
    <w:p>
      <w:pPr>
        <w:spacing w:after="120" w:line="276"/>
      </w:pPr>
      <w:r>
        <w:rPr>
          <w:b/>
          <w:bCs/>
          <w:color w:val="2B2338"/>
          <w:sz w:val="21"/>
          <w:szCs w:val="21"/>
        </w:rPr>
        <w:t xml:space="preserve">RU — new: </w:t>
      </w:r>
      <w:r>
        <w:rPr>
          <w:color w:val="2B2338"/>
          <w:sz w:val="21"/>
          <w:szCs w:val="21"/>
        </w:rPr>
        <w:t xml:space="preserve">We Present — это не разовое событие, а постоянная серия программ по разным направлениям — Мальдивы, Оман, Кения и другие, — каждая из которых собирает избранную группу партнёров, чтобы лично познакомиться с направлением и принять участие в ключевых событиях индустрии.</w:t>
      </w:r>
    </w:p>
    <w:p>
      <w:pPr>
        <w:pStyle w:val="Heading2"/>
        <w:spacing w:after="100" w:before="240"/>
      </w:pPr>
      <w:r>
        <w:rPr>
          <w:b/>
          <w:bCs/>
          <w:color w:val="6E4FA3"/>
          <w:sz w:val="25"/>
          <w:szCs w:val="25"/>
        </w:rPr>
        <w:t xml:space="preserve">A.4 Remove the “not a tool to recruit” line</w:t>
      </w:r>
    </w:p>
    <w:p>
      <w:pPr>
        <w:spacing w:after="120" w:line="276"/>
      </w:pPr>
      <w:r>
        <w:rPr>
          <w:color w:val="2B2338"/>
          <w:sz w:val="21"/>
          <w:szCs w:val="21"/>
        </w:rPr>
        <w:t xml:space="preserve">Delete this idea wherever it appears — the old About body and the spec's §1 overview. Do not replace it with a similar disclaimer; the corrected positioning (§1) supersedes it.</w:t>
      </w:r>
    </w:p>
    <w:p>
      <w:pPr>
        <w:pStyle w:val="Heading1"/>
        <w:spacing w:after="140" w:before="320"/>
      </w:pPr>
      <w:r>
        <w:rPr>
          <w:b/>
          <w:bCs/>
          <w:color w:val="3E2C55"/>
          <w:sz w:val="30"/>
          <w:szCs w:val="30"/>
        </w:rPr>
        <w:t xml:space="preserve">Appendix B — Design fix: banner gradient (file-level)</w:t>
      </w:r>
    </w:p>
    <w:p>
      <w:pPr>
        <w:spacing w:after="120" w:line="276"/>
      </w:pPr>
      <w:r>
        <w:rPr>
          <w:color w:val="2B2338"/>
          <w:sz w:val="21"/>
          <w:szCs w:val="21"/>
        </w:rPr>
        <w:t xml:space="preserve">In each file below, change the banner section's class from the flat fill to the gradient. Change only the colour classes; keep </w:t>
      </w:r>
      <w:r>
        <w:rPr>
          <w:rFonts w:ascii="Consolas" w:cs="Consolas" w:eastAsia="Consolas" w:hAnsi="Consolas"/>
          <w:color w:val="3E2C55"/>
          <w:sz w:val="18"/>
          <w:szCs w:val="18"/>
        </w:rPr>
        <w:t xml:space="preserve">px-6 pb-20 pt-40 lg:px-10</w:t>
      </w:r>
      <w:r>
        <w:rPr>
          <w:color w:val="2B2338"/>
          <w:sz w:val="21"/>
          <w:szCs w:val="21"/>
        </w:rPr>
        <w:t xml:space="preserve">.</w:t>
      </w:r>
    </w:p>
    <w:p>
      <w:pPr>
        <w:spacing w:after="120" w:line="276"/>
      </w:pPr>
      <w:r>
        <w:rPr>
          <w:b/>
          <w:bCs/>
          <w:color w:val="2B2338"/>
          <w:sz w:val="21"/>
          <w:szCs w:val="21"/>
        </w:rPr>
        <w:t xml:space="preserve">From: </w:t>
      </w:r>
      <w:r>
        <w:rPr>
          <w:rFonts w:ascii="Consolas" w:cs="Consolas" w:eastAsia="Consolas" w:hAnsi="Consolas"/>
          <w:color w:val="3E2C55"/>
          <w:sz w:val="18"/>
          <w:szCs w:val="18"/>
        </w:rPr>
        <w:t xml:space="preserve">className="bg-aubergine px-6 pb-20 pt-40 lg:px-10"</w:t>
      </w:r>
    </w:p>
    <w:p>
      <w:pPr>
        <w:spacing w:after="120" w:line="276"/>
      </w:pPr>
      <w:r>
        <w:rPr>
          <w:b/>
          <w:bCs/>
          <w:color w:val="2B2338"/>
          <w:sz w:val="21"/>
          <w:szCs w:val="21"/>
        </w:rPr>
        <w:t xml:space="preserve">To: </w:t>
      </w:r>
      <w:r>
        <w:rPr>
          <w:rFonts w:ascii="Consolas" w:cs="Consolas" w:eastAsia="Consolas" w:hAnsi="Consolas"/>
          <w:color w:val="3E2C55"/>
          <w:sz w:val="18"/>
          <w:szCs w:val="18"/>
        </w:rPr>
        <w:t xml:space="preserve">className="bg-gradient-to-b from-soft-lilac via-amethyst to-aubergine px-6 pb-20 pt-40 lg:px-10"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700"/>
      </w:tblGrid>
      <w:tr>
        <w:trPr>
          <w:tblHeader/>
        </w:trPr>
        <w:tc>
          <w:tcPr>
            <w:tcW w:type="dxa" w:w="4600"/>
            <w:shd w:fill="3E2C55" w:val="clear"/>
            <w:tcMar>
              <w:top w:type="dxa" w:w="60"/>
              <w:left w:type="dxa" w:w="90"/>
              <w:bottom w:type="dxa" w:w="60"/>
              <w:right w:type="dxa" w:w="90"/>
            </w:tcMar>
          </w:tcPr>
          <w:p>
            <w:r>
              <w:rPr>
                <w:b/>
                <w:bCs/>
                <w:color w:val="FFFFFF"/>
                <w:sz w:val="19"/>
                <w:szCs w:val="19"/>
              </w:rPr>
              <w:t xml:space="preserve">File</w:t>
            </w:r>
          </w:p>
        </w:tc>
        <w:tc>
          <w:tcPr>
            <w:tcW w:type="dxa" w:w="900"/>
            <w:shd w:fill="3E2C55" w:val="clear"/>
            <w:tcMar>
              <w:top w:type="dxa" w:w="60"/>
              <w:left w:type="dxa" w:w="90"/>
              <w:bottom w:type="dxa" w:w="60"/>
              <w:right w:type="dxa" w:w="90"/>
            </w:tcMar>
          </w:tcPr>
          <w:p>
            <w:r>
              <w:rPr>
                <w:b/>
                <w:bCs/>
                <w:color w:val="FFFFFF"/>
                <w:sz w:val="19"/>
                <w:szCs w:val="19"/>
              </w:rPr>
              <w:t xml:space="preserve">Line</w:t>
            </w:r>
          </w:p>
        </w:tc>
        <w:tc>
          <w:tcPr>
            <w:tcW w:type="dxa" w:w="3700"/>
            <w:shd w:fill="3E2C55" w:val="clear"/>
            <w:tcMar>
              <w:top w:type="dxa" w:w="60"/>
              <w:left w:type="dxa" w:w="90"/>
              <w:bottom w:type="dxa" w:w="60"/>
              <w:right w:type="dxa" w:w="90"/>
            </w:tcMar>
          </w:tcPr>
          <w:p>
            <w:r>
              <w:rPr>
                <w:b/>
                <w:bCs/>
                <w:color w:val="FFFFFF"/>
                <w:sz w:val="19"/>
                <w:szCs w:val="19"/>
              </w:rPr>
              <w:t xml:space="preserve">Banner</w:t>
            </w:r>
          </w:p>
        </w:tc>
      </w:tr>
      <w:tr>
        <w:tc>
          <w:tcPr>
            <w:tcW w:type="dxa" w:w="4600"/>
            <w:shd w:fill="F7F3FB" w:val="clear"/>
            <w:tcMar>
              <w:top w:type="dxa" w:w="50"/>
              <w:left w:type="dxa" w:w="90"/>
              <w:bottom w:type="dxa" w:w="50"/>
              <w:right w:type="dxa" w:w="90"/>
            </w:tcMar>
          </w:tcPr>
          <w:p>
            <w:pPr>
              <w:spacing w:after="20"/>
            </w:pPr>
            <w:r>
              <w:rPr>
                <w:color w:val="2B2338"/>
                <w:sz w:val="18"/>
                <w:szCs w:val="18"/>
              </w:rPr>
              <w:t xml:space="preserve">app/[locale]/about/page.tsx</w:t>
            </w:r>
          </w:p>
        </w:tc>
        <w:tc>
          <w:tcPr>
            <w:tcW w:type="dxa" w:w="900"/>
            <w:shd w:fill="F7F3FB" w:val="clear"/>
            <w:tcMar>
              <w:top w:type="dxa" w:w="50"/>
              <w:left w:type="dxa" w:w="90"/>
              <w:bottom w:type="dxa" w:w="50"/>
              <w:right w:type="dxa" w:w="90"/>
            </w:tcMar>
          </w:tcPr>
          <w:p>
            <w:pPr>
              <w:spacing w:after="20"/>
            </w:pPr>
            <w:r>
              <w:rPr>
                <w:color w:val="2B2338"/>
                <w:sz w:val="18"/>
                <w:szCs w:val="18"/>
              </w:rPr>
              <w:t xml:space="preserve">20</w:t>
            </w:r>
          </w:p>
        </w:tc>
        <w:tc>
          <w:tcPr>
            <w:tcW w:type="dxa" w:w="3700"/>
            <w:shd w:fill="F7F3FB" w:val="clear"/>
            <w:tcMar>
              <w:top w:type="dxa" w:w="50"/>
              <w:left w:type="dxa" w:w="90"/>
              <w:bottom w:type="dxa" w:w="50"/>
              <w:right w:type="dxa" w:w="90"/>
            </w:tcMar>
          </w:tcPr>
          <w:p>
            <w:pPr>
              <w:spacing w:after="20"/>
            </w:pPr>
            <w:r>
              <w:rPr>
                <w:color w:val="2B2338"/>
                <w:sz w:val="18"/>
                <w:szCs w:val="18"/>
              </w:rPr>
              <w:t xml:space="preserve">About banner (NOT line 79 — that stays flat)</w:t>
            </w:r>
          </w:p>
        </w:tc>
      </w:tr>
      <w:tr>
        <w:tc>
          <w:tcPr>
            <w:tcW w:type="dxa" w:w="4600"/>
            <w:shd w:fill="FFFFFF" w:val="clear"/>
            <w:tcMar>
              <w:top w:type="dxa" w:w="50"/>
              <w:left w:type="dxa" w:w="90"/>
              <w:bottom w:type="dxa" w:w="50"/>
              <w:right w:type="dxa" w:w="90"/>
            </w:tcMar>
          </w:tcPr>
          <w:p>
            <w:pPr>
              <w:spacing w:after="20"/>
            </w:pPr>
            <w:r>
              <w:rPr>
                <w:color w:val="2B2338"/>
                <w:sz w:val="18"/>
                <w:szCs w:val="18"/>
              </w:rPr>
              <w:t xml:space="preserve">app/[locale]/tours/page.tsx</w:t>
            </w:r>
          </w:p>
        </w:tc>
        <w:tc>
          <w:tcPr>
            <w:tcW w:type="dxa" w:w="900"/>
            <w:shd w:fill="FFFFFF" w:val="clear"/>
            <w:tcMar>
              <w:top w:type="dxa" w:w="50"/>
              <w:left w:type="dxa" w:w="90"/>
              <w:bottom w:type="dxa" w:w="50"/>
              <w:right w:type="dxa" w:w="90"/>
            </w:tcMar>
          </w:tcPr>
          <w:p>
            <w:pPr>
              <w:spacing w:after="20"/>
            </w:pPr>
            <w:r>
              <w:rPr>
                <w:color w:val="2B2338"/>
                <w:sz w:val="18"/>
                <w:szCs w:val="18"/>
              </w:rPr>
              <w:t xml:space="preserve">24</w:t>
            </w:r>
          </w:p>
        </w:tc>
        <w:tc>
          <w:tcPr>
            <w:tcW w:type="dxa" w:w="3700"/>
            <w:shd w:fill="FFFFFF" w:val="clear"/>
            <w:tcMar>
              <w:top w:type="dxa" w:w="50"/>
              <w:left w:type="dxa" w:w="90"/>
              <w:bottom w:type="dxa" w:w="50"/>
              <w:right w:type="dxa" w:w="90"/>
            </w:tcMar>
          </w:tcPr>
          <w:p>
            <w:pPr>
              <w:spacing w:after="20"/>
            </w:pPr>
            <w:r>
              <w:rPr>
                <w:color w:val="2B2338"/>
                <w:sz w:val="18"/>
                <w:szCs w:val="18"/>
              </w:rPr>
              <w:t xml:space="preserve">Tours calendar banner</w:t>
            </w:r>
          </w:p>
        </w:tc>
      </w:tr>
      <w:tr>
        <w:tc>
          <w:tcPr>
            <w:tcW w:type="dxa" w:w="4600"/>
            <w:shd w:fill="F7F3FB" w:val="clear"/>
            <w:tcMar>
              <w:top w:type="dxa" w:w="50"/>
              <w:left w:type="dxa" w:w="90"/>
              <w:bottom w:type="dxa" w:w="50"/>
              <w:right w:type="dxa" w:w="90"/>
            </w:tcMar>
          </w:tcPr>
          <w:p>
            <w:pPr>
              <w:spacing w:after="20"/>
            </w:pPr>
            <w:r>
              <w:rPr>
                <w:color w:val="2B2338"/>
                <w:sz w:val="18"/>
                <w:szCs w:val="18"/>
              </w:rPr>
              <w:t xml:space="preserve">app/[locale]/tours/[slug]/page.tsx</w:t>
            </w:r>
          </w:p>
        </w:tc>
        <w:tc>
          <w:tcPr>
            <w:tcW w:type="dxa" w:w="900"/>
            <w:shd w:fill="F7F3FB" w:val="clear"/>
            <w:tcMar>
              <w:top w:type="dxa" w:w="50"/>
              <w:left w:type="dxa" w:w="90"/>
              <w:bottom w:type="dxa" w:w="50"/>
              <w:right w:type="dxa" w:w="90"/>
            </w:tcMar>
          </w:tcPr>
          <w:p>
            <w:pPr>
              <w:spacing w:after="20"/>
            </w:pPr>
            <w:r>
              <w:rPr>
                <w:color w:val="2B2338"/>
                <w:sz w:val="18"/>
                <w:szCs w:val="18"/>
              </w:rPr>
              <w:t xml:space="preserve">32</w:t>
            </w:r>
          </w:p>
        </w:tc>
        <w:tc>
          <w:tcPr>
            <w:tcW w:type="dxa" w:w="3700"/>
            <w:shd w:fill="F7F3FB" w:val="clear"/>
            <w:tcMar>
              <w:top w:type="dxa" w:w="50"/>
              <w:left w:type="dxa" w:w="90"/>
              <w:bottom w:type="dxa" w:w="50"/>
              <w:right w:type="dxa" w:w="90"/>
            </w:tcMar>
          </w:tcPr>
          <w:p>
            <w:pPr>
              <w:spacing w:after="20"/>
            </w:pPr>
            <w:r>
              <w:rPr>
                <w:color w:val="2B2338"/>
                <w:sz w:val="18"/>
                <w:szCs w:val="18"/>
              </w:rPr>
              <w:t xml:space="preserve">Tour detail banner</w:t>
            </w:r>
          </w:p>
        </w:tc>
      </w:tr>
      <w:tr>
        <w:tc>
          <w:tcPr>
            <w:tcW w:type="dxa" w:w="4600"/>
            <w:shd w:fill="FFFFFF" w:val="clear"/>
            <w:tcMar>
              <w:top w:type="dxa" w:w="50"/>
              <w:left w:type="dxa" w:w="90"/>
              <w:bottom w:type="dxa" w:w="50"/>
              <w:right w:type="dxa" w:w="90"/>
            </w:tcMar>
          </w:tcPr>
          <w:p>
            <w:pPr>
              <w:spacing w:after="20"/>
            </w:pPr>
            <w:r>
              <w:rPr>
                <w:color w:val="2B2338"/>
                <w:sz w:val="18"/>
                <w:szCs w:val="18"/>
              </w:rPr>
              <w:t xml:space="preserve">app/[locale]/partners/page.tsx</w:t>
            </w:r>
          </w:p>
        </w:tc>
        <w:tc>
          <w:tcPr>
            <w:tcW w:type="dxa" w:w="900"/>
            <w:shd w:fill="FFFFFF" w:val="clear"/>
            <w:tcMar>
              <w:top w:type="dxa" w:w="50"/>
              <w:left w:type="dxa" w:w="90"/>
              <w:bottom w:type="dxa" w:w="50"/>
              <w:right w:type="dxa" w:w="90"/>
            </w:tcMar>
          </w:tcPr>
          <w:p>
            <w:pPr>
              <w:spacing w:after="20"/>
            </w:pPr>
            <w:r>
              <w:rPr>
                <w:color w:val="2B2338"/>
                <w:sz w:val="18"/>
                <w:szCs w:val="18"/>
              </w:rPr>
              <w:t xml:space="preserve">20</w:t>
            </w:r>
          </w:p>
        </w:tc>
        <w:tc>
          <w:tcPr>
            <w:tcW w:type="dxa" w:w="3700"/>
            <w:shd w:fill="FFFFFF" w:val="clear"/>
            <w:tcMar>
              <w:top w:type="dxa" w:w="50"/>
              <w:left w:type="dxa" w:w="90"/>
              <w:bottom w:type="dxa" w:w="50"/>
              <w:right w:type="dxa" w:w="90"/>
            </w:tcMar>
          </w:tcPr>
          <w:p>
            <w:pPr>
              <w:spacing w:after="20"/>
            </w:pPr>
            <w:r>
              <w:rPr>
                <w:color w:val="2B2338"/>
                <w:sz w:val="18"/>
                <w:szCs w:val="18"/>
              </w:rPr>
              <w:t xml:space="preserve">Partners banner</w:t>
            </w:r>
          </w:p>
        </w:tc>
      </w:tr>
      <w:tr>
        <w:tc>
          <w:tcPr>
            <w:tcW w:type="dxa" w:w="4600"/>
            <w:shd w:fill="F7F3FB" w:val="clear"/>
            <w:tcMar>
              <w:top w:type="dxa" w:w="50"/>
              <w:left w:type="dxa" w:w="90"/>
              <w:bottom w:type="dxa" w:w="50"/>
              <w:right w:type="dxa" w:w="90"/>
            </w:tcMar>
          </w:tcPr>
          <w:p>
            <w:pPr>
              <w:spacing w:after="20"/>
            </w:pPr>
            <w:r>
              <w:rPr>
                <w:color w:val="2B2338"/>
                <w:sz w:val="18"/>
                <w:szCs w:val="18"/>
              </w:rPr>
              <w:t xml:space="preserve">app/[locale]/contact/page.tsx</w:t>
            </w:r>
          </w:p>
        </w:tc>
        <w:tc>
          <w:tcPr>
            <w:tcW w:type="dxa" w:w="900"/>
            <w:shd w:fill="F7F3FB" w:val="clear"/>
            <w:tcMar>
              <w:top w:type="dxa" w:w="50"/>
              <w:left w:type="dxa" w:w="90"/>
              <w:bottom w:type="dxa" w:w="50"/>
              <w:right w:type="dxa" w:w="90"/>
            </w:tcMar>
          </w:tcPr>
          <w:p>
            <w:pPr>
              <w:spacing w:after="20"/>
            </w:pPr>
            <w:r>
              <w:rPr>
                <w:color w:val="2B2338"/>
                <w:sz w:val="18"/>
                <w:szCs w:val="18"/>
              </w:rPr>
              <w:t xml:space="preserve">18</w:t>
            </w:r>
          </w:p>
        </w:tc>
        <w:tc>
          <w:tcPr>
            <w:tcW w:type="dxa" w:w="3700"/>
            <w:shd w:fill="F7F3FB" w:val="clear"/>
            <w:tcMar>
              <w:top w:type="dxa" w:w="50"/>
              <w:left w:type="dxa" w:w="90"/>
              <w:bottom w:type="dxa" w:w="50"/>
              <w:right w:type="dxa" w:w="90"/>
            </w:tcMar>
          </w:tcPr>
          <w:p>
            <w:pPr>
              <w:spacing w:after="20"/>
            </w:pPr>
            <w:r>
              <w:rPr>
                <w:color w:val="2B2338"/>
                <w:sz w:val="18"/>
                <w:szCs w:val="18"/>
              </w:rPr>
              <w:t xml:space="preserve">Contact banner</w:t>
            </w:r>
          </w:p>
        </w:tc>
      </w:tr>
      <w:tr>
        <w:tc>
          <w:tcPr>
            <w:tcW w:type="dxa" w:w="4600"/>
            <w:shd w:fill="FFFFFF" w:val="clear"/>
            <w:tcMar>
              <w:top w:type="dxa" w:w="50"/>
              <w:left w:type="dxa" w:w="90"/>
              <w:bottom w:type="dxa" w:w="50"/>
              <w:right w:type="dxa" w:w="90"/>
            </w:tcMar>
          </w:tcPr>
          <w:p>
            <w:pPr>
              <w:spacing w:after="20"/>
            </w:pPr>
            <w:r>
              <w:rPr>
                <w:color w:val="2B2338"/>
                <w:sz w:val="18"/>
                <w:szCs w:val="18"/>
              </w:rPr>
              <w:t xml:space="preserve">app/[locale]/become-a-partner/page.tsx</w:t>
            </w:r>
          </w:p>
        </w:tc>
        <w:tc>
          <w:tcPr>
            <w:tcW w:type="dxa" w:w="900"/>
            <w:shd w:fill="FFFFFF" w:val="clear"/>
            <w:tcMar>
              <w:top w:type="dxa" w:w="50"/>
              <w:left w:type="dxa" w:w="90"/>
              <w:bottom w:type="dxa" w:w="50"/>
              <w:right w:type="dxa" w:w="90"/>
            </w:tcMar>
          </w:tcPr>
          <w:p>
            <w:pPr>
              <w:spacing w:after="20"/>
            </w:pPr>
            <w:r>
              <w:rPr>
                <w:color w:val="2B2338"/>
                <w:sz w:val="18"/>
                <w:szCs w:val="18"/>
              </w:rPr>
              <w:t xml:space="preserve">18</w:t>
            </w:r>
          </w:p>
        </w:tc>
        <w:tc>
          <w:tcPr>
            <w:tcW w:type="dxa" w:w="3700"/>
            <w:shd w:fill="FFFFFF" w:val="clear"/>
            <w:tcMar>
              <w:top w:type="dxa" w:w="50"/>
              <w:left w:type="dxa" w:w="90"/>
              <w:bottom w:type="dxa" w:w="50"/>
              <w:right w:type="dxa" w:w="90"/>
            </w:tcMar>
          </w:tcPr>
          <w:p>
            <w:pPr>
              <w:spacing w:after="20"/>
            </w:pPr>
            <w:r>
              <w:rPr>
                <w:color w:val="2B2338"/>
                <w:sz w:val="18"/>
                <w:szCs w:val="18"/>
              </w:rPr>
              <w:t xml:space="preserve">Become a Partner banner</w:t>
            </w:r>
          </w:p>
        </w:tc>
      </w:tr>
      <w:tr>
        <w:tc>
          <w:tcPr>
            <w:tcW w:type="dxa" w:w="4600"/>
            <w:shd w:fill="F7F3FB" w:val="clear"/>
            <w:tcMar>
              <w:top w:type="dxa" w:w="50"/>
              <w:left w:type="dxa" w:w="90"/>
              <w:bottom w:type="dxa" w:w="50"/>
              <w:right w:type="dxa" w:w="90"/>
            </w:tcMar>
          </w:tcPr>
          <w:p>
            <w:pPr>
              <w:spacing w:after="20"/>
            </w:pPr>
            <w:r>
              <w:rPr>
                <w:color w:val="2B2338"/>
                <w:sz w:val="18"/>
                <w:szCs w:val="18"/>
              </w:rPr>
              <w:t xml:space="preserve">app/[locale]/how-it-was/page.tsx</w:t>
            </w:r>
          </w:p>
        </w:tc>
        <w:tc>
          <w:tcPr>
            <w:tcW w:type="dxa" w:w="900"/>
            <w:shd w:fill="F7F3FB" w:val="clear"/>
            <w:tcMar>
              <w:top w:type="dxa" w:w="50"/>
              <w:left w:type="dxa" w:w="90"/>
              <w:bottom w:type="dxa" w:w="50"/>
              <w:right w:type="dxa" w:w="90"/>
            </w:tcMar>
          </w:tcPr>
          <w:p>
            <w:pPr>
              <w:spacing w:after="20"/>
            </w:pPr>
            <w:r>
              <w:rPr>
                <w:color w:val="2B2338"/>
                <w:sz w:val="18"/>
                <w:szCs w:val="18"/>
              </w:rPr>
              <w:t xml:space="preserve">17</w:t>
            </w:r>
          </w:p>
        </w:tc>
        <w:tc>
          <w:tcPr>
            <w:tcW w:type="dxa" w:w="3700"/>
            <w:shd w:fill="F7F3FB" w:val="clear"/>
            <w:tcMar>
              <w:top w:type="dxa" w:w="50"/>
              <w:left w:type="dxa" w:w="90"/>
              <w:bottom w:type="dxa" w:w="50"/>
              <w:right w:type="dxa" w:w="90"/>
            </w:tcMar>
          </w:tcPr>
          <w:p>
            <w:pPr>
              <w:spacing w:after="20"/>
            </w:pPr>
            <w:r>
              <w:rPr>
                <w:color w:val="2B2338"/>
                <w:sz w:val="18"/>
                <w:szCs w:val="18"/>
              </w:rPr>
              <w:t xml:space="preserve">How It Was banner</w:t>
            </w:r>
          </w:p>
        </w:tc>
      </w:tr>
      <w:tr>
        <w:tc>
          <w:tcPr>
            <w:tcW w:type="dxa" w:w="4600"/>
            <w:shd w:fill="FFFFFF" w:val="clear"/>
            <w:tcMar>
              <w:top w:type="dxa" w:w="50"/>
              <w:left w:type="dxa" w:w="90"/>
              <w:bottom w:type="dxa" w:w="50"/>
              <w:right w:type="dxa" w:w="90"/>
            </w:tcMar>
          </w:tcPr>
          <w:p>
            <w:pPr>
              <w:spacing w:after="20"/>
            </w:pPr>
            <w:r>
              <w:rPr>
                <w:color w:val="2B2338"/>
                <w:sz w:val="18"/>
                <w:szCs w:val="18"/>
              </w:rPr>
              <w:t xml:space="preserve">app/[locale]/legal/page.tsx</w:t>
            </w:r>
          </w:p>
        </w:tc>
        <w:tc>
          <w:tcPr>
            <w:tcW w:type="dxa" w:w="900"/>
            <w:shd w:fill="FFFFFF" w:val="clear"/>
            <w:tcMar>
              <w:top w:type="dxa" w:w="50"/>
              <w:left w:type="dxa" w:w="90"/>
              <w:bottom w:type="dxa" w:w="50"/>
              <w:right w:type="dxa" w:w="90"/>
            </w:tcMar>
          </w:tcPr>
          <w:p>
            <w:pPr>
              <w:spacing w:after="20"/>
            </w:pPr>
            <w:r>
              <w:rPr>
                <w:color w:val="2B2338"/>
                <w:sz w:val="18"/>
                <w:szCs w:val="18"/>
              </w:rPr>
              <w:t xml:space="preserve">17</w:t>
            </w:r>
          </w:p>
        </w:tc>
        <w:tc>
          <w:tcPr>
            <w:tcW w:type="dxa" w:w="3700"/>
            <w:shd w:fill="FFFFFF" w:val="clear"/>
            <w:tcMar>
              <w:top w:type="dxa" w:w="50"/>
              <w:left w:type="dxa" w:w="90"/>
              <w:bottom w:type="dxa" w:w="50"/>
              <w:right w:type="dxa" w:w="90"/>
            </w:tcMar>
          </w:tcPr>
          <w:p>
            <w:pPr>
              <w:spacing w:after="20"/>
            </w:pPr>
            <w:r>
              <w:rPr>
                <w:color w:val="2B2338"/>
                <w:sz w:val="18"/>
                <w:szCs w:val="18"/>
              </w:rPr>
              <w:t xml:space="preserve">Legal banner</w:t>
            </w:r>
          </w:p>
        </w:tc>
      </w:tr>
    </w:tbl>
    <w:p>
      <w:pPr>
        <w:pBdr>
          <w:left w:val="single" w:color="6E4FA3" w:sz="18" w:space="8"/>
        </w:pBdr>
        <w:shd w:fill="F3ECFB" w:val="clear"/>
        <w:spacing w:after="140" w:before="100"/>
      </w:pPr>
      <w:r>
        <w:rPr>
          <w:b/>
          <w:bCs/>
          <w:color w:val="6E4FA3"/>
          <w:sz w:val="20"/>
          <w:szCs w:val="20"/>
        </w:rPr>
        <w:t xml:space="preserve">Reference (already correct). </w:t>
      </w:r>
      <w:r>
        <w:rPr>
          <w:color w:val="2B2338"/>
          <w:sz w:val="20"/>
          <w:szCs w:val="20"/>
        </w:rPr>
        <w:t xml:space="preserve">app/[locale]/register/page.tsx (line 18) and components/home/RegisterBand.tsx already use the gradient — match them. Line numbers are from the current repo and may drift; match on the class string, not the line.</w:t>
      </w:r>
    </w:p>
    <w:p>
      <w:pPr>
        <w:spacing w:after="120" w:line="276"/>
      </w:pPr>
      <w:r>
        <w:rPr>
          <w:color w:val="2B2338"/>
          <w:sz w:val="21"/>
          <w:szCs w:val="21"/>
        </w:rPr>
        <w:t xml:space="preserve">Optional consistency step: extract the gradient into a shared </w:t>
      </w:r>
      <w:r>
        <w:rPr>
          <w:rFonts w:ascii="Consolas" w:cs="Consolas" w:eastAsia="Consolas" w:hAnsi="Consolas"/>
          <w:color w:val="3E2C55"/>
          <w:sz w:val="18"/>
          <w:szCs w:val="18"/>
        </w:rPr>
        <w:t xml:space="preserve">PageBanner</w:t>
      </w:r>
      <w:r>
        <w:rPr>
          <w:color w:val="2B2338"/>
          <w:sz w:val="21"/>
          <w:szCs w:val="21"/>
        </w:rPr>
        <w:t xml:space="preserve"> component or a Tailwind utility so future pages can't drift again.</w:t>
      </w:r>
    </w:p>
    <w:p>
      <w:r>
        <w:br w:type="page"/>
      </w:r>
    </w:p>
    <w:p>
      <w:pPr>
        <w:pStyle w:val="Heading1"/>
        <w:spacing w:after="140" w:before="320"/>
      </w:pPr>
      <w:r>
        <w:rPr>
          <w:b/>
          <w:bCs/>
          <w:color w:val="3E2C55"/>
          <w:sz w:val="30"/>
          <w:szCs w:val="30"/>
        </w:rPr>
        <w:t xml:space="preserve">Appendix C — Invitation content (RU + EN) &amp; data model</w:t>
      </w:r>
    </w:p>
    <w:p>
      <w:pPr>
        <w:pStyle w:val="Heading2"/>
        <w:spacing w:after="100" w:before="240"/>
      </w:pPr>
      <w:r>
        <w:rPr>
          <w:b/>
          <w:bCs/>
          <w:color w:val="6E4FA3"/>
          <w:sz w:val="25"/>
          <w:szCs w:val="25"/>
        </w:rPr>
        <w:t xml:space="preserve">C.1 “What's included” — items (icon + label)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3550"/>
      </w:tblGrid>
      <w:tr>
        <w:trPr>
          <w:tblHeader/>
        </w:trPr>
        <w:tc>
          <w:tcPr>
            <w:tcW w:type="dxa" w:w="2100"/>
            <w:shd w:fill="3E2C55" w:val="clear"/>
            <w:tcMar>
              <w:top w:type="dxa" w:w="60"/>
              <w:left w:type="dxa" w:w="90"/>
              <w:bottom w:type="dxa" w:w="60"/>
              <w:right w:type="dxa" w:w="90"/>
            </w:tcMar>
          </w:tcPr>
          <w:p>
            <w:r>
              <w:rPr>
                <w:b/>
                <w:bCs/>
                <w:color w:val="FFFFFF"/>
                <w:sz w:val="19"/>
                <w:szCs w:val="19"/>
              </w:rPr>
              <w:t xml:space="preserve">Icon (suggested)</w:t>
            </w:r>
          </w:p>
        </w:tc>
        <w:tc>
          <w:tcPr>
            <w:tcW w:type="dxa" w:w="3550"/>
            <w:shd w:fill="3E2C55" w:val="clear"/>
            <w:tcMar>
              <w:top w:type="dxa" w:w="60"/>
              <w:left w:type="dxa" w:w="90"/>
              <w:bottom w:type="dxa" w:w="60"/>
              <w:right w:type="dxa" w:w="90"/>
            </w:tcMar>
          </w:tcPr>
          <w:p>
            <w:r>
              <w:rPr>
                <w:b/>
                <w:bCs/>
                <w:color w:val="FFFFFF"/>
                <w:sz w:val="19"/>
                <w:szCs w:val="19"/>
              </w:rPr>
              <w:t xml:space="preserve">EN label</w:t>
            </w:r>
          </w:p>
        </w:tc>
        <w:tc>
          <w:tcPr>
            <w:tcW w:type="dxa" w:w="3550"/>
            <w:shd w:fill="3E2C55" w:val="clear"/>
            <w:tcMar>
              <w:top w:type="dxa" w:w="60"/>
              <w:left w:type="dxa" w:w="90"/>
              <w:bottom w:type="dxa" w:w="60"/>
              <w:right w:type="dxa" w:w="90"/>
            </w:tcMar>
          </w:tcPr>
          <w:p>
            <w:r>
              <w:rPr>
                <w:b/>
                <w:bCs/>
                <w:color w:val="FFFFFF"/>
                <w:sz w:val="19"/>
                <w:szCs w:val="19"/>
              </w:rPr>
              <w:t xml:space="preserve">RU label</w:t>
            </w:r>
          </w:p>
        </w:tc>
      </w:tr>
      <w:tr>
        <w:tc>
          <w:tcPr>
            <w:tcW w:type="dxa" w:w="2100"/>
            <w:shd w:fill="F7F3FB" w:val="clear"/>
            <w:tcMar>
              <w:top w:type="dxa" w:w="50"/>
              <w:left w:type="dxa" w:w="90"/>
              <w:bottom w:type="dxa" w:w="50"/>
              <w:right w:type="dxa" w:w="90"/>
            </w:tcMar>
          </w:tcPr>
          <w:p>
            <w:pPr>
              <w:spacing w:after="20"/>
            </w:pPr>
            <w:r>
              <w:rPr>
                <w:color w:val="2B2338"/>
                <w:sz w:val="18"/>
                <w:szCs w:val="18"/>
              </w:rPr>
              <w:t xml:space="preserve">$ / coin</w:t>
            </w:r>
          </w:p>
        </w:tc>
        <w:tc>
          <w:tcPr>
            <w:tcW w:type="dxa" w:w="3550"/>
            <w:shd w:fill="F7F3FB" w:val="clear"/>
            <w:tcMar>
              <w:top w:type="dxa" w:w="50"/>
              <w:left w:type="dxa" w:w="90"/>
              <w:bottom w:type="dxa" w:w="50"/>
              <w:right w:type="dxa" w:w="90"/>
            </w:tcMar>
          </w:tcPr>
          <w:p>
            <w:pPr>
              <w:spacing w:after="20"/>
            </w:pPr>
            <w:r>
              <w:rPr>
                <w:color w:val="2B2338"/>
                <w:sz w:val="18"/>
                <w:szCs w:val="18"/>
              </w:rPr>
              <w:t xml:space="preserve">Registration fee</w:t>
            </w:r>
          </w:p>
        </w:tc>
        <w:tc>
          <w:tcPr>
            <w:tcW w:type="dxa" w:w="3550"/>
            <w:shd w:fill="F7F3FB" w:val="clear"/>
            <w:tcMar>
              <w:top w:type="dxa" w:w="50"/>
              <w:left w:type="dxa" w:w="90"/>
              <w:bottom w:type="dxa" w:w="50"/>
              <w:right w:type="dxa" w:w="90"/>
            </w:tcMar>
          </w:tcPr>
          <w:p>
            <w:pPr>
              <w:spacing w:after="20"/>
            </w:pPr>
            <w:r>
              <w:rPr>
                <w:color w:val="2B2338"/>
                <w:sz w:val="18"/>
                <w:szCs w:val="18"/>
              </w:rPr>
              <w:t xml:space="preserve">Регистрационный взнос</w:t>
            </w:r>
          </w:p>
        </w:tc>
      </w:tr>
      <w:tr>
        <w:tc>
          <w:tcPr>
            <w:tcW w:type="dxa" w:w="2100"/>
            <w:shd w:fill="FFFFFF" w:val="clear"/>
            <w:tcMar>
              <w:top w:type="dxa" w:w="50"/>
              <w:left w:type="dxa" w:w="90"/>
              <w:bottom w:type="dxa" w:w="50"/>
              <w:right w:type="dxa" w:w="90"/>
            </w:tcMar>
          </w:tcPr>
          <w:p>
            <w:pPr>
              <w:spacing w:after="20"/>
            </w:pPr>
            <w:r>
              <w:rPr>
                <w:color w:val="2B2338"/>
                <w:sz w:val="18"/>
                <w:szCs w:val="18"/>
              </w:rPr>
              <w:t xml:space="preserve">bed</w:t>
            </w:r>
          </w:p>
        </w:tc>
        <w:tc>
          <w:tcPr>
            <w:tcW w:type="dxa" w:w="3550"/>
            <w:shd w:fill="FFFFFF" w:val="clear"/>
            <w:tcMar>
              <w:top w:type="dxa" w:w="50"/>
              <w:left w:type="dxa" w:w="90"/>
              <w:bottom w:type="dxa" w:w="50"/>
              <w:right w:type="dxa" w:w="90"/>
            </w:tcMar>
          </w:tcPr>
          <w:p>
            <w:pPr>
              <w:spacing w:after="20"/>
            </w:pPr>
            <w:r>
              <w:rPr>
                <w:color w:val="2B2338"/>
                <w:sz w:val="18"/>
                <w:szCs w:val="18"/>
              </w:rPr>
              <w:t xml:space="preserve">Accommodation (½ DBL*)</w:t>
            </w:r>
          </w:p>
        </w:tc>
        <w:tc>
          <w:tcPr>
            <w:tcW w:type="dxa" w:w="3550"/>
            <w:shd w:fill="FFFFFF" w:val="clear"/>
            <w:tcMar>
              <w:top w:type="dxa" w:w="50"/>
              <w:left w:type="dxa" w:w="90"/>
              <w:bottom w:type="dxa" w:w="50"/>
              <w:right w:type="dxa" w:w="90"/>
            </w:tcMar>
          </w:tcPr>
          <w:p>
            <w:pPr>
              <w:spacing w:after="20"/>
            </w:pPr>
            <w:r>
              <w:rPr>
                <w:color w:val="2B2338"/>
                <w:sz w:val="18"/>
                <w:szCs w:val="18"/>
              </w:rPr>
              <w:t xml:space="preserve">Проживание (½ DBL*)</w:t>
            </w:r>
          </w:p>
        </w:tc>
      </w:tr>
      <w:tr>
        <w:tc>
          <w:tcPr>
            <w:tcW w:type="dxa" w:w="2100"/>
            <w:shd w:fill="F7F3FB" w:val="clear"/>
            <w:tcMar>
              <w:top w:type="dxa" w:w="50"/>
              <w:left w:type="dxa" w:w="90"/>
              <w:bottom w:type="dxa" w:w="50"/>
              <w:right w:type="dxa" w:w="90"/>
            </w:tcMar>
          </w:tcPr>
          <w:p>
            <w:pPr>
              <w:spacing w:after="20"/>
            </w:pPr>
            <w:r>
              <w:rPr>
                <w:color w:val="2B2338"/>
                <w:sz w:val="18"/>
                <w:szCs w:val="18"/>
              </w:rPr>
              <w:t xml:space="preserve">domed tray</w:t>
            </w:r>
          </w:p>
        </w:tc>
        <w:tc>
          <w:tcPr>
            <w:tcW w:type="dxa" w:w="3550"/>
            <w:shd w:fill="F7F3FB" w:val="clear"/>
            <w:tcMar>
              <w:top w:type="dxa" w:w="50"/>
              <w:left w:type="dxa" w:w="90"/>
              <w:bottom w:type="dxa" w:w="50"/>
              <w:right w:type="dxa" w:w="90"/>
            </w:tcMar>
          </w:tcPr>
          <w:p>
            <w:pPr>
              <w:spacing w:after="20"/>
            </w:pPr>
            <w:r>
              <w:rPr>
                <w:color w:val="2B2338"/>
                <w:sz w:val="18"/>
                <w:szCs w:val="18"/>
              </w:rPr>
              <w:t xml:space="preserve">Full board / Premium All-Inclusive (at Meyyafushi)</w:t>
            </w:r>
          </w:p>
        </w:tc>
        <w:tc>
          <w:tcPr>
            <w:tcW w:type="dxa" w:w="3550"/>
            <w:shd w:fill="F7F3FB" w:val="clear"/>
            <w:tcMar>
              <w:top w:type="dxa" w:w="50"/>
              <w:left w:type="dxa" w:w="90"/>
              <w:bottom w:type="dxa" w:w="50"/>
              <w:right w:type="dxa" w:w="90"/>
            </w:tcMar>
          </w:tcPr>
          <w:p>
            <w:pPr>
              <w:spacing w:after="20"/>
            </w:pPr>
            <w:r>
              <w:rPr>
                <w:color w:val="2B2338"/>
                <w:sz w:val="18"/>
                <w:szCs w:val="18"/>
              </w:rPr>
              <w:t xml:space="preserve">Полный пансион / Премиум «Всё включено» (в Meyyafushi)</w:t>
            </w:r>
          </w:p>
        </w:tc>
      </w:tr>
      <w:tr>
        <w:tc>
          <w:tcPr>
            <w:tcW w:type="dxa" w:w="2100"/>
            <w:shd w:fill="FFFFFF" w:val="clear"/>
            <w:tcMar>
              <w:top w:type="dxa" w:w="50"/>
              <w:left w:type="dxa" w:w="90"/>
              <w:bottom w:type="dxa" w:w="50"/>
              <w:right w:type="dxa" w:w="90"/>
            </w:tcMar>
          </w:tcPr>
          <w:p>
            <w:pPr>
              <w:spacing w:after="20"/>
            </w:pPr>
            <w:r>
              <w:rPr>
                <w:color w:val="2B2338"/>
                <w:sz w:val="18"/>
                <w:szCs w:val="18"/>
              </w:rPr>
              <w:t xml:space="preserve">transfer / car</w:t>
            </w:r>
          </w:p>
        </w:tc>
        <w:tc>
          <w:tcPr>
            <w:tcW w:type="dxa" w:w="3550"/>
            <w:shd w:fill="FFFFFF" w:val="clear"/>
            <w:tcMar>
              <w:top w:type="dxa" w:w="50"/>
              <w:left w:type="dxa" w:w="90"/>
              <w:bottom w:type="dxa" w:w="50"/>
              <w:right w:type="dxa" w:w="90"/>
            </w:tcMar>
          </w:tcPr>
          <w:p>
            <w:pPr>
              <w:spacing w:after="20"/>
            </w:pPr>
            <w:r>
              <w:rPr>
                <w:color w:val="2B2338"/>
                <w:sz w:val="18"/>
                <w:szCs w:val="18"/>
              </w:rPr>
              <w:t xml:space="preserve">Transfers</w:t>
            </w:r>
          </w:p>
        </w:tc>
        <w:tc>
          <w:tcPr>
            <w:tcW w:type="dxa" w:w="3550"/>
            <w:shd w:fill="FFFFFF" w:val="clear"/>
            <w:tcMar>
              <w:top w:type="dxa" w:w="50"/>
              <w:left w:type="dxa" w:w="90"/>
              <w:bottom w:type="dxa" w:w="50"/>
              <w:right w:type="dxa" w:w="90"/>
            </w:tcMar>
          </w:tcPr>
          <w:p>
            <w:pPr>
              <w:spacing w:after="20"/>
            </w:pPr>
            <w:r>
              <w:rPr>
                <w:color w:val="2B2338"/>
                <w:sz w:val="18"/>
                <w:szCs w:val="18"/>
              </w:rPr>
              <w:t xml:space="preserve">Трансферы</w:t>
            </w:r>
          </w:p>
        </w:tc>
      </w:tr>
      <w:tr>
        <w:tc>
          <w:tcPr>
            <w:tcW w:type="dxa" w:w="2100"/>
            <w:shd w:fill="F7F3FB" w:val="clear"/>
            <w:tcMar>
              <w:top w:type="dxa" w:w="50"/>
              <w:left w:type="dxa" w:w="90"/>
              <w:bottom w:type="dxa" w:w="50"/>
              <w:right w:type="dxa" w:w="90"/>
            </w:tcMar>
          </w:tcPr>
          <w:p>
            <w:pPr>
              <w:spacing w:after="20"/>
            </w:pPr>
            <w:r>
              <w:rPr>
                <w:color w:val="2B2338"/>
                <w:sz w:val="18"/>
                <w:szCs w:val="18"/>
              </w:rPr>
              <w:t xml:space="preserve">person + star</w:t>
            </w:r>
          </w:p>
        </w:tc>
        <w:tc>
          <w:tcPr>
            <w:tcW w:type="dxa" w:w="3550"/>
            <w:shd w:fill="F7F3FB" w:val="clear"/>
            <w:tcMar>
              <w:top w:type="dxa" w:w="50"/>
              <w:left w:type="dxa" w:w="90"/>
              <w:bottom w:type="dxa" w:w="50"/>
              <w:right w:type="dxa" w:w="90"/>
            </w:tcMar>
          </w:tcPr>
          <w:p>
            <w:pPr>
              <w:spacing w:after="20"/>
            </w:pPr>
            <w:r>
              <w:rPr>
                <w:color w:val="2B2338"/>
                <w:sz w:val="18"/>
                <w:szCs w:val="18"/>
              </w:rPr>
              <w:t xml:space="preserve">Exclusive programme with resort management</w:t>
            </w:r>
          </w:p>
        </w:tc>
        <w:tc>
          <w:tcPr>
            <w:tcW w:type="dxa" w:w="3550"/>
            <w:shd w:fill="F7F3FB" w:val="clear"/>
            <w:tcMar>
              <w:top w:type="dxa" w:w="50"/>
              <w:left w:type="dxa" w:w="90"/>
              <w:bottom w:type="dxa" w:w="50"/>
              <w:right w:type="dxa" w:w="90"/>
            </w:tcMar>
          </w:tcPr>
          <w:p>
            <w:pPr>
              <w:spacing w:after="20"/>
            </w:pPr>
            <w:r>
              <w:rPr>
                <w:color w:val="2B2338"/>
                <w:sz w:val="18"/>
                <w:szCs w:val="18"/>
              </w:rPr>
              <w:t xml:space="preserve">Эксклюзивная программа с руководством курорта</w:t>
            </w:r>
          </w:p>
        </w:tc>
      </w:tr>
    </w:tbl>
    <w:p>
      <w:pPr>
        <w:pStyle w:val="Heading2"/>
        <w:spacing w:after="100" w:before="240"/>
      </w:pPr>
      <w:r>
        <w:rPr>
          <w:b/>
          <w:bCs/>
          <w:color w:val="6E4FA3"/>
          <w:sz w:val="25"/>
          <w:szCs w:val="25"/>
        </w:rPr>
        <w:t xml:space="preserve">C.2 “What's included” — fine print (below the icons)</w:t>
      </w:r>
    </w:p>
    <w:p>
      <w:pPr>
        <w:spacing w:after="120" w:line="276"/>
      </w:pPr>
      <w:r>
        <w:rPr>
          <w:b/>
          <w:bCs/>
          <w:color w:val="2B2338"/>
          <w:sz w:val="21"/>
          <w:szCs w:val="21"/>
        </w:rPr>
        <w:t xml:space="preserve">EN: </w:t>
      </w:r>
      <w:r>
        <w:rPr>
          <w:color w:val="2B2338"/>
          <w:sz w:val="21"/>
          <w:szCs w:val="21"/>
        </w:rPr>
        <w:t xml:space="preserve">* Single-room accommodation is available at an additional charge on request. Please note: international flights and travel insurance are arranged independently by participants. Accommodation terms apply only to registered participants of TTM Maldives 2026.</w:t>
      </w:r>
    </w:p>
    <w:p>
      <w:pPr>
        <w:spacing w:after="120" w:line="276"/>
      </w:pPr>
      <w:r>
        <w:rPr>
          <w:b/>
          <w:bCs/>
          <w:color w:val="2B2338"/>
          <w:sz w:val="21"/>
          <w:szCs w:val="21"/>
        </w:rPr>
        <w:t xml:space="preserve">RU: </w:t>
      </w:r>
      <w:r>
        <w:rPr>
          <w:color w:val="2B2338"/>
          <w:sz w:val="21"/>
          <w:szCs w:val="21"/>
        </w:rPr>
        <w:t xml:space="preserve">* Одноместное размещение доступно за дополнительную плату по запросу. Обратите внимание: международные перелёты и страховку участники организуют самостоятельно. Условия проживания действуют только для зарегистрированных участников TTM Maldives 2026.</w:t>
      </w:r>
    </w:p>
    <w:p>
      <w:pPr>
        <w:pStyle w:val="Heading2"/>
        <w:spacing w:after="100" w:before="240"/>
      </w:pPr>
      <w:r>
        <w:rPr>
          <w:b/>
          <w:bCs/>
          <w:color w:val="6E4FA3"/>
          <w:sz w:val="25"/>
          <w:szCs w:val="25"/>
        </w:rPr>
        <w:t xml:space="preserve">C.3 “At every resort you will enjoy” — title + items</w:t>
      </w:r>
    </w:p>
    <w:p>
      <w:pPr>
        <w:spacing w:after="120" w:line="276"/>
      </w:pPr>
      <w:r>
        <w:rPr>
          <w:b/>
          <w:bCs/>
          <w:color w:val="2B2338"/>
          <w:sz w:val="21"/>
          <w:szCs w:val="21"/>
        </w:rPr>
        <w:t xml:space="preserve">EN title: </w:t>
      </w:r>
      <w:r>
        <w:rPr>
          <w:color w:val="2B2338"/>
          <w:sz w:val="21"/>
          <w:szCs w:val="21"/>
        </w:rPr>
        <w:t xml:space="preserve">At every resort you will enjoy</w:t>
      </w:r>
      <w:r>
        <w:rPr>
          <w:b/>
          <w:bCs/>
          <w:color w:val="2B2338"/>
          <w:sz w:val="21"/>
          <w:szCs w:val="21"/>
        </w:rPr>
        <w:t xml:space="preserve">   ·   RU title: </w:t>
      </w:r>
      <w:r>
        <w:rPr>
          <w:color w:val="2B2338"/>
          <w:sz w:val="21"/>
          <w:szCs w:val="21"/>
        </w:rPr>
        <w:t xml:space="preserve">На каждом курорте вас ждёт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rPr>
          <w:tblHeader/>
        </w:trPr>
        <w:tc>
          <w:tcPr>
            <w:tcW w:type="dxa" w:w="4400"/>
            <w:shd w:fill="3E2C55" w:val="clear"/>
            <w:tcMar>
              <w:top w:type="dxa" w:w="60"/>
              <w:left w:type="dxa" w:w="90"/>
              <w:bottom w:type="dxa" w:w="60"/>
              <w:right w:type="dxa" w:w="90"/>
            </w:tcMar>
          </w:tcPr>
          <w:p>
            <w:r>
              <w:rPr>
                <w:b/>
                <w:bCs/>
                <w:color w:val="FFFFFF"/>
                <w:sz w:val="19"/>
                <w:szCs w:val="19"/>
              </w:rPr>
              <w:t xml:space="preserve">EN</w:t>
            </w:r>
          </w:p>
        </w:tc>
        <w:tc>
          <w:tcPr>
            <w:tcW w:type="dxa" w:w="4800"/>
            <w:shd w:fill="3E2C55" w:val="clear"/>
            <w:tcMar>
              <w:top w:type="dxa" w:w="60"/>
              <w:left w:type="dxa" w:w="90"/>
              <w:bottom w:type="dxa" w:w="60"/>
              <w:right w:type="dxa" w:w="90"/>
            </w:tcMar>
          </w:tcPr>
          <w:p>
            <w:r>
              <w:rPr>
                <w:b/>
                <w:bCs/>
                <w:color w:val="FFFFFF"/>
                <w:sz w:val="19"/>
                <w:szCs w:val="19"/>
              </w:rPr>
              <w:t xml:space="preserve">RU</w:t>
            </w:r>
          </w:p>
        </w:tc>
      </w:tr>
      <w:tr>
        <w:tc>
          <w:tcPr>
            <w:tcW w:type="dxa" w:w="4400"/>
            <w:shd w:fill="F7F3FB" w:val="clear"/>
            <w:tcMar>
              <w:top w:type="dxa" w:w="50"/>
              <w:left w:type="dxa" w:w="90"/>
              <w:bottom w:type="dxa" w:w="50"/>
              <w:right w:type="dxa" w:w="90"/>
            </w:tcMar>
          </w:tcPr>
          <w:p>
            <w:pPr>
              <w:spacing w:after="20"/>
            </w:pPr>
            <w:r>
              <w:rPr>
                <w:color w:val="2B2338"/>
                <w:sz w:val="18"/>
                <w:szCs w:val="18"/>
              </w:rPr>
              <w:t xml:space="preserve">Resort inspection</w:t>
            </w:r>
          </w:p>
        </w:tc>
        <w:tc>
          <w:tcPr>
            <w:tcW w:type="dxa" w:w="4800"/>
            <w:shd w:fill="F7F3FB" w:val="clear"/>
            <w:tcMar>
              <w:top w:type="dxa" w:w="50"/>
              <w:left w:type="dxa" w:w="90"/>
              <w:bottom w:type="dxa" w:w="50"/>
              <w:right w:type="dxa" w:w="90"/>
            </w:tcMar>
          </w:tcPr>
          <w:p>
            <w:pPr>
              <w:spacing w:after="20"/>
            </w:pPr>
            <w:r>
              <w:rPr>
                <w:color w:val="2B2338"/>
                <w:sz w:val="18"/>
                <w:szCs w:val="18"/>
              </w:rPr>
              <w:t xml:space="preserve">Инспекция курорта</w:t>
            </w:r>
          </w:p>
        </w:tc>
      </w:tr>
      <w:tr>
        <w:tc>
          <w:tcPr>
            <w:tcW w:type="dxa" w:w="4400"/>
            <w:shd w:fill="FFFFFF" w:val="clear"/>
            <w:tcMar>
              <w:top w:type="dxa" w:w="50"/>
              <w:left w:type="dxa" w:w="90"/>
              <w:bottom w:type="dxa" w:w="50"/>
              <w:right w:type="dxa" w:w="90"/>
            </w:tcMar>
          </w:tcPr>
          <w:p>
            <w:pPr>
              <w:spacing w:after="20"/>
            </w:pPr>
            <w:r>
              <w:rPr>
                <w:color w:val="2B2338"/>
                <w:sz w:val="18"/>
                <w:szCs w:val="18"/>
              </w:rPr>
              <w:t xml:space="preserve">Meetings with the resort management team</w:t>
            </w:r>
          </w:p>
        </w:tc>
        <w:tc>
          <w:tcPr>
            <w:tcW w:type="dxa" w:w="4800"/>
            <w:shd w:fill="FFFFFF" w:val="clear"/>
            <w:tcMar>
              <w:top w:type="dxa" w:w="50"/>
              <w:left w:type="dxa" w:w="90"/>
              <w:bottom w:type="dxa" w:w="50"/>
              <w:right w:type="dxa" w:w="90"/>
            </w:tcMar>
          </w:tcPr>
          <w:p>
            <w:pPr>
              <w:spacing w:after="20"/>
            </w:pPr>
            <w:r>
              <w:rPr>
                <w:color w:val="2B2338"/>
                <w:sz w:val="18"/>
                <w:szCs w:val="18"/>
              </w:rPr>
              <w:t xml:space="preserve">Встречи с управленческой командой курорта</w:t>
            </w:r>
          </w:p>
        </w:tc>
      </w:tr>
      <w:tr>
        <w:tc>
          <w:tcPr>
            <w:tcW w:type="dxa" w:w="4400"/>
            <w:shd w:fill="F7F3FB" w:val="clear"/>
            <w:tcMar>
              <w:top w:type="dxa" w:w="50"/>
              <w:left w:type="dxa" w:w="90"/>
              <w:bottom w:type="dxa" w:w="50"/>
              <w:right w:type="dxa" w:w="90"/>
            </w:tcMar>
          </w:tcPr>
          <w:p>
            <w:pPr>
              <w:spacing w:after="20"/>
            </w:pPr>
            <w:r>
              <w:rPr>
                <w:color w:val="2B2338"/>
                <w:sz w:val="18"/>
                <w:szCs w:val="18"/>
              </w:rPr>
              <w:t xml:space="preserve">An engaging business and networking programme</w:t>
            </w:r>
          </w:p>
        </w:tc>
        <w:tc>
          <w:tcPr>
            <w:tcW w:type="dxa" w:w="4800"/>
            <w:shd w:fill="F7F3FB" w:val="clear"/>
            <w:tcMar>
              <w:top w:type="dxa" w:w="50"/>
              <w:left w:type="dxa" w:w="90"/>
              <w:bottom w:type="dxa" w:w="50"/>
              <w:right w:type="dxa" w:w="90"/>
            </w:tcMar>
          </w:tcPr>
          <w:p>
            <w:pPr>
              <w:spacing w:after="20"/>
            </w:pPr>
            <w:r>
              <w:rPr>
                <w:color w:val="2B2338"/>
                <w:sz w:val="18"/>
                <w:szCs w:val="18"/>
              </w:rPr>
              <w:t xml:space="preserve">Насыщенная деловая и нетворкинг-программа</w:t>
            </w:r>
          </w:p>
        </w:tc>
      </w:tr>
      <w:tr>
        <w:tc>
          <w:tcPr>
            <w:tcW w:type="dxa" w:w="4400"/>
            <w:shd w:fill="FFFFFF" w:val="clear"/>
            <w:tcMar>
              <w:top w:type="dxa" w:w="50"/>
              <w:left w:type="dxa" w:w="90"/>
              <w:bottom w:type="dxa" w:w="50"/>
              <w:right w:type="dxa" w:w="90"/>
            </w:tcMar>
          </w:tcPr>
          <w:p>
            <w:pPr>
              <w:spacing w:after="20"/>
            </w:pPr>
            <w:r>
              <w:rPr>
                <w:color w:val="2B2338"/>
                <w:sz w:val="18"/>
                <w:szCs w:val="18"/>
              </w:rPr>
              <w:t xml:space="preserve">Unique content-creation opportunities</w:t>
            </w:r>
          </w:p>
        </w:tc>
        <w:tc>
          <w:tcPr>
            <w:tcW w:type="dxa" w:w="4800"/>
            <w:shd w:fill="FFFFFF" w:val="clear"/>
            <w:tcMar>
              <w:top w:type="dxa" w:w="50"/>
              <w:left w:type="dxa" w:w="90"/>
              <w:bottom w:type="dxa" w:w="50"/>
              <w:right w:type="dxa" w:w="90"/>
            </w:tcMar>
          </w:tcPr>
          <w:p>
            <w:pPr>
              <w:spacing w:after="20"/>
            </w:pPr>
            <w:r>
              <w:rPr>
                <w:color w:val="2B2338"/>
                <w:sz w:val="18"/>
                <w:szCs w:val="18"/>
              </w:rPr>
              <w:t xml:space="preserve">Уникальные возможности для создания контента</w:t>
            </w:r>
          </w:p>
        </w:tc>
      </w:tr>
      <w:tr>
        <w:tc>
          <w:tcPr>
            <w:tcW w:type="dxa" w:w="4400"/>
            <w:shd w:fill="F7F3FB" w:val="clear"/>
            <w:tcMar>
              <w:top w:type="dxa" w:w="50"/>
              <w:left w:type="dxa" w:w="90"/>
              <w:bottom w:type="dxa" w:w="50"/>
              <w:right w:type="dxa" w:w="90"/>
            </w:tcMar>
          </w:tcPr>
          <w:p>
            <w:pPr>
              <w:spacing w:after="20"/>
            </w:pPr>
            <w:r>
              <w:rPr>
                <w:color w:val="2B2338"/>
                <w:sz w:val="18"/>
                <w:szCs w:val="18"/>
              </w:rPr>
              <w:t xml:space="preserve">Destination updates and product information</w:t>
            </w:r>
          </w:p>
        </w:tc>
        <w:tc>
          <w:tcPr>
            <w:tcW w:type="dxa" w:w="4800"/>
            <w:shd w:fill="F7F3FB" w:val="clear"/>
            <w:tcMar>
              <w:top w:type="dxa" w:w="50"/>
              <w:left w:type="dxa" w:w="90"/>
              <w:bottom w:type="dxa" w:w="50"/>
              <w:right w:type="dxa" w:w="90"/>
            </w:tcMar>
          </w:tcPr>
          <w:p>
            <w:pPr>
              <w:spacing w:after="20"/>
            </w:pPr>
            <w:r>
              <w:rPr>
                <w:color w:val="2B2338"/>
                <w:sz w:val="18"/>
                <w:szCs w:val="18"/>
              </w:rPr>
              <w:t xml:space="preserve">Обновления по направлению и информация о продукте</w:t>
            </w:r>
          </w:p>
        </w:tc>
      </w:tr>
      <w:tr>
        <w:tc>
          <w:tcPr>
            <w:tcW w:type="dxa" w:w="4400"/>
            <w:shd w:fill="FFFFFF" w:val="clear"/>
            <w:tcMar>
              <w:top w:type="dxa" w:w="50"/>
              <w:left w:type="dxa" w:w="90"/>
              <w:bottom w:type="dxa" w:w="50"/>
              <w:right w:type="dxa" w:w="90"/>
            </w:tcMar>
          </w:tcPr>
          <w:p>
            <w:pPr>
              <w:spacing w:after="20"/>
            </w:pPr>
            <w:r>
              <w:rPr>
                <w:color w:val="2B2338"/>
                <w:sz w:val="18"/>
                <w:szCs w:val="18"/>
              </w:rPr>
              <w:t xml:space="preserve">Brainstorming sessions with industry colleagues on resort promotion and sales development</w:t>
            </w:r>
          </w:p>
        </w:tc>
        <w:tc>
          <w:tcPr>
            <w:tcW w:type="dxa" w:w="4800"/>
            <w:shd w:fill="FFFFFF" w:val="clear"/>
            <w:tcMar>
              <w:top w:type="dxa" w:w="50"/>
              <w:left w:type="dxa" w:w="90"/>
              <w:bottom w:type="dxa" w:w="50"/>
              <w:right w:type="dxa" w:w="90"/>
            </w:tcMar>
          </w:tcPr>
          <w:p>
            <w:pPr>
              <w:spacing w:after="20"/>
            </w:pPr>
            <w:r>
              <w:rPr>
                <w:color w:val="2B2338"/>
                <w:sz w:val="18"/>
                <w:szCs w:val="18"/>
              </w:rPr>
              <w:t xml:space="preserve">Мозговые штурмы с коллегами по отрасли по продвижению курорта и развитию продаж</w:t>
            </w:r>
          </w:p>
        </w:tc>
      </w:tr>
    </w:tbl>
    <w:p>
      <w:pPr>
        <w:pStyle w:val="Heading2"/>
        <w:spacing w:after="100" w:before="240"/>
      </w:pPr>
      <w:r>
        <w:rPr>
          <w:b/>
          <w:bCs/>
          <w:color w:val="6E4FA3"/>
          <w:sz w:val="25"/>
          <w:szCs w:val="25"/>
        </w:rPr>
        <w:t xml:space="preserve">C.4 Data model &amp; files</w:t>
      </w:r>
    </w:p>
    <w:p>
      <w:pPr>
        <w:spacing w:after="120" w:line="276"/>
      </w:pPr>
      <w:r>
        <w:rPr>
          <w:color w:val="2B2338"/>
          <w:sz w:val="21"/>
          <w:szCs w:val="21"/>
        </w:rPr>
        <w:t xml:space="preserve">Add two optional fields to the Tour type / JSON (and the Decap tours collection in </w:t>
      </w:r>
      <w:r>
        <w:rPr>
          <w:rFonts w:ascii="Consolas" w:cs="Consolas" w:eastAsia="Consolas" w:hAnsi="Consolas"/>
          <w:color w:val="3E2C55"/>
          <w:sz w:val="18"/>
          <w:szCs w:val="18"/>
        </w:rPr>
        <w:t xml:space="preserve">public/admin/config.yml</w:t>
      </w:r>
      <w:r>
        <w:rPr>
          <w:color w:val="2B2338"/>
          <w:sz w:val="21"/>
          <w:szCs w:val="21"/>
        </w:rPr>
        <w:t xml:space="preserve">):</w:t>
      </w:r>
    </w:p>
    <w:p>
      <w:pPr>
        <w:pBdr>
          <w:left w:val="single" w:color="6E4FA3" w:sz="12" w:space="8"/>
        </w:pBdr>
        <w:shd w:fill="F3F1F6" w:val="clear"/>
        <w:spacing w:after="120" w:before="60"/>
      </w:pPr>
      <w:r>
        <w:rPr>
          <w:rFonts w:ascii="Consolas" w:cs="Consolas" w:eastAsia="Consolas" w:hAnsi="Consolas"/>
          <w:color w:val="2B2338"/>
          <w:sz w:val="18"/>
          <w:szCs w:val="18"/>
        </w:rPr>
        <w:t xml:space="preserve">whatsIncluded?: {</w:t>
      </w:r>
      <w:r>
        <w:rPr>
          <w:rFonts w:ascii="Consolas" w:cs="Consolas" w:eastAsia="Consolas" w:hAnsi="Consolas"/>
          <w:color w:val="2B2338"/>
          <w:sz w:val="18"/>
          <w:szCs w:val="18"/>
        </w:rPr>
        <w:br/>
        <w:t xml:space="preserve">  items: { icon: string; label: { en: string; ru: string } }[];</w:t>
      </w:r>
      <w:r>
        <w:rPr>
          <w:rFonts w:ascii="Consolas" w:cs="Consolas" w:eastAsia="Consolas" w:hAnsi="Consolas"/>
          <w:color w:val="2B2338"/>
          <w:sz w:val="18"/>
          <w:szCs w:val="18"/>
        </w:rPr>
        <w:br/>
        <w:t xml:space="preserve">  notes: { en: string; ru: string };</w:t>
      </w:r>
      <w:r>
        <w:rPr>
          <w:rFonts w:ascii="Consolas" w:cs="Consolas" w:eastAsia="Consolas" w:hAnsi="Consolas"/>
          <w:color w:val="2B2338"/>
          <w:sz w:val="18"/>
          <w:szCs w:val="18"/>
        </w:rPr>
        <w:br/>
        <w:t xml:space="preserve">}</w:t>
      </w:r>
      <w:r>
        <w:rPr>
          <w:rFonts w:ascii="Consolas" w:cs="Consolas" w:eastAsia="Consolas" w:hAnsi="Consolas"/>
          <w:color w:val="2B2338"/>
          <w:sz w:val="18"/>
          <w:szCs w:val="18"/>
        </w:rPr>
        <w:br/>
        <w:t xml:space="preserve">onSiteProgram?: {                 // or a shared default in settings</w:t>
      </w:r>
      <w:r>
        <w:rPr>
          <w:rFonts w:ascii="Consolas" w:cs="Consolas" w:eastAsia="Consolas" w:hAnsi="Consolas"/>
          <w:color w:val="2B2338"/>
          <w:sz w:val="18"/>
          <w:szCs w:val="18"/>
        </w:rPr>
        <w:br/>
        <w:t xml:space="preserve">  title: { en: string; ru: string };</w:t>
      </w:r>
      <w:r>
        <w:rPr>
          <w:rFonts w:ascii="Consolas" w:cs="Consolas" w:eastAsia="Consolas" w:hAnsi="Consolas"/>
          <w:color w:val="2B2338"/>
          <w:sz w:val="18"/>
          <w:szCs w:val="18"/>
        </w:rPr>
        <w:br/>
        <w:t xml:space="preserve">  items: { en: string; ru: string }[];</w:t>
      </w:r>
      <w:r>
        <w:rPr>
          <w:rFonts w:ascii="Consolas" w:cs="Consolas" w:eastAsia="Consolas" w:hAnsi="Consolas"/>
          <w:color w:val="2B2338"/>
          <w:sz w:val="18"/>
          <w:szCs w:val="18"/>
        </w:rPr>
        <w:br/>
        <w:t xml:space="preser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3E2C55" w:val="clear"/>
            <w:tcMar>
              <w:top w:type="dxa" w:w="60"/>
              <w:left w:type="dxa" w:w="90"/>
              <w:bottom w:type="dxa" w:w="60"/>
              <w:right w:type="dxa" w:w="90"/>
            </w:tcMar>
          </w:tcPr>
          <w:p>
            <w:r>
              <w:rPr>
                <w:b/>
                <w:bCs/>
                <w:color w:val="FFFFFF"/>
                <w:sz w:val="19"/>
                <w:szCs w:val="19"/>
              </w:rPr>
              <w:t xml:space="preserve">Change</w:t>
            </w:r>
          </w:p>
        </w:tc>
        <w:tc>
          <w:tcPr>
            <w:tcW w:type="dxa" w:w="5000"/>
            <w:shd w:fill="3E2C55" w:val="clear"/>
            <w:tcMar>
              <w:top w:type="dxa" w:w="60"/>
              <w:left w:type="dxa" w:w="90"/>
              <w:bottom w:type="dxa" w:w="60"/>
              <w:right w:type="dxa" w:w="90"/>
            </w:tcMar>
          </w:tcPr>
          <w:p>
            <w:r>
              <w:rPr>
                <w:b/>
                <w:bCs/>
                <w:color w:val="FFFFFF"/>
                <w:sz w:val="19"/>
                <w:szCs w:val="19"/>
              </w:rPr>
              <w:t xml:space="preserve">Where</w:t>
            </w:r>
          </w:p>
        </w:tc>
      </w:tr>
      <w:tr>
        <w:tc>
          <w:tcPr>
            <w:tcW w:type="dxa" w:w="4200"/>
            <w:shd w:fill="F7F3FB" w:val="clear"/>
            <w:tcMar>
              <w:top w:type="dxa" w:w="50"/>
              <w:left w:type="dxa" w:w="90"/>
              <w:bottom w:type="dxa" w:w="50"/>
              <w:right w:type="dxa" w:w="90"/>
            </w:tcMar>
          </w:tcPr>
          <w:p>
            <w:pPr>
              <w:spacing w:after="20"/>
            </w:pPr>
            <w:r>
              <w:rPr>
                <w:color w:val="2B2338"/>
                <w:sz w:val="18"/>
                <w:szCs w:val="18"/>
              </w:rPr>
              <w:t xml:space="preserve">Add whatsIncluded + onSiteProgram to the Tour type + loader</w:t>
            </w:r>
          </w:p>
        </w:tc>
        <w:tc>
          <w:tcPr>
            <w:tcW w:type="dxa" w:w="5000"/>
            <w:shd w:fill="F7F3FB" w:val="clear"/>
            <w:tcMar>
              <w:top w:type="dxa" w:w="50"/>
              <w:left w:type="dxa" w:w="90"/>
              <w:bottom w:type="dxa" w:w="50"/>
              <w:right w:type="dxa" w:w="90"/>
            </w:tcMar>
          </w:tcPr>
          <w:p>
            <w:pPr>
              <w:spacing w:after="20"/>
            </w:pPr>
            <w:r>
              <w:rPr>
                <w:color w:val="2B2338"/>
                <w:sz w:val="18"/>
                <w:szCs w:val="18"/>
              </w:rPr>
              <w:t xml:space="preserve">web/src/lib/tours.ts</w:t>
            </w:r>
          </w:p>
        </w:tc>
      </w:tr>
      <w:tr>
        <w:tc>
          <w:tcPr>
            <w:tcW w:type="dxa" w:w="4200"/>
            <w:shd w:fill="FFFFFF" w:val="clear"/>
            <w:tcMar>
              <w:top w:type="dxa" w:w="50"/>
              <w:left w:type="dxa" w:w="90"/>
              <w:bottom w:type="dxa" w:w="50"/>
              <w:right w:type="dxa" w:w="90"/>
            </w:tcMar>
          </w:tcPr>
          <w:p>
            <w:pPr>
              <w:spacing w:after="20"/>
            </w:pPr>
            <w:r>
              <w:rPr>
                <w:color w:val="2B2338"/>
                <w:sz w:val="18"/>
                <w:szCs w:val="18"/>
              </w:rPr>
              <w:t xml:space="preserve">Populate Tour 2 (TTM) with the copy in C.1–C.3</w:t>
            </w:r>
          </w:p>
        </w:tc>
        <w:tc>
          <w:tcPr>
            <w:tcW w:type="dxa" w:w="5000"/>
            <w:shd w:fill="FFFFFF" w:val="clear"/>
            <w:tcMar>
              <w:top w:type="dxa" w:w="50"/>
              <w:left w:type="dxa" w:w="90"/>
              <w:bottom w:type="dxa" w:w="50"/>
              <w:right w:type="dxa" w:w="90"/>
            </w:tcMar>
          </w:tcPr>
          <w:p>
            <w:pPr>
              <w:spacing w:after="20"/>
            </w:pPr>
            <w:r>
              <w:rPr>
                <w:color w:val="2B2338"/>
                <w:sz w:val="18"/>
                <w:szCs w:val="18"/>
              </w:rPr>
              <w:t xml:space="preserve">web/content/tours/maldives-ttm-tour-2.json</w:t>
            </w:r>
          </w:p>
        </w:tc>
      </w:tr>
      <w:tr>
        <w:tc>
          <w:tcPr>
            <w:tcW w:type="dxa" w:w="4200"/>
            <w:shd w:fill="F7F3FB" w:val="clear"/>
            <w:tcMar>
              <w:top w:type="dxa" w:w="50"/>
              <w:left w:type="dxa" w:w="90"/>
              <w:bottom w:type="dxa" w:w="50"/>
              <w:right w:type="dxa" w:w="90"/>
            </w:tcMar>
          </w:tcPr>
          <w:p>
            <w:pPr>
              <w:spacing w:after="20"/>
            </w:pPr>
            <w:r>
              <w:rPr>
                <w:color w:val="2B2338"/>
                <w:sz w:val="18"/>
                <w:szCs w:val="18"/>
              </w:rPr>
              <w:t xml:space="preserve">Render the two sections (icons row + fine print; titled list), each only when data exists</w:t>
            </w:r>
          </w:p>
        </w:tc>
        <w:tc>
          <w:tcPr>
            <w:tcW w:type="dxa" w:w="5000"/>
            <w:shd w:fill="F7F3FB" w:val="clear"/>
            <w:tcMar>
              <w:top w:type="dxa" w:w="50"/>
              <w:left w:type="dxa" w:w="90"/>
              <w:bottom w:type="dxa" w:w="50"/>
              <w:right w:type="dxa" w:w="90"/>
            </w:tcMar>
          </w:tcPr>
          <w:p>
            <w:pPr>
              <w:spacing w:after="20"/>
            </w:pPr>
            <w:r>
              <w:rPr>
                <w:color w:val="2B2338"/>
                <w:sz w:val="18"/>
                <w:szCs w:val="18"/>
              </w:rPr>
              <w:t xml:space="preserve">web/src/app/[locale]/tours/[slug]/page.tsx</w:t>
            </w:r>
          </w:p>
        </w:tc>
      </w:tr>
      <w:tr>
        <w:tc>
          <w:tcPr>
            <w:tcW w:type="dxa" w:w="4200"/>
            <w:shd w:fill="FFFFFF" w:val="clear"/>
            <w:tcMar>
              <w:top w:type="dxa" w:w="50"/>
              <w:left w:type="dxa" w:w="90"/>
              <w:bottom w:type="dxa" w:w="50"/>
              <w:right w:type="dxa" w:w="90"/>
            </w:tcMar>
          </w:tcPr>
          <w:p>
            <w:pPr>
              <w:spacing w:after="20"/>
            </w:pPr>
            <w:r>
              <w:rPr>
                <w:color w:val="2B2338"/>
                <w:sz w:val="18"/>
                <w:szCs w:val="18"/>
              </w:rPr>
              <w:t xml:space="preserve">Add bilingual editor fields for both</w:t>
            </w:r>
          </w:p>
        </w:tc>
        <w:tc>
          <w:tcPr>
            <w:tcW w:type="dxa" w:w="5000"/>
            <w:shd w:fill="FFFFFF" w:val="clear"/>
            <w:tcMar>
              <w:top w:type="dxa" w:w="50"/>
              <w:left w:type="dxa" w:w="90"/>
              <w:bottom w:type="dxa" w:w="50"/>
              <w:right w:type="dxa" w:w="90"/>
            </w:tcMar>
          </w:tcPr>
          <w:p>
            <w:pPr>
              <w:spacing w:after="20"/>
            </w:pPr>
            <w:r>
              <w:rPr>
                <w:color w:val="2B2338"/>
                <w:sz w:val="18"/>
                <w:szCs w:val="18"/>
              </w:rPr>
              <w:t xml:space="preserve">web/public/admin/config.yml (tours collection; or a settings file for the shared programme)</w:t>
            </w:r>
          </w:p>
        </w:tc>
      </w:tr>
      <w:tr>
        <w:tc>
          <w:tcPr>
            <w:tcW w:type="dxa" w:w="4200"/>
            <w:shd w:fill="F7F3FB" w:val="clear"/>
            <w:tcMar>
              <w:top w:type="dxa" w:w="50"/>
              <w:left w:type="dxa" w:w="90"/>
              <w:bottom w:type="dxa" w:w="50"/>
              <w:right w:type="dxa" w:w="90"/>
            </w:tcMar>
          </w:tcPr>
          <w:p>
            <w:pPr>
              <w:spacing w:after="20"/>
            </w:pPr>
            <w:r>
              <w:rPr>
                <w:color w:val="2B2338"/>
                <w:sz w:val="18"/>
                <w:szCs w:val="18"/>
              </w:rPr>
              <w:t xml:space="preserve">Icons — thin premium line icons ($, bed, tray, transfer, person+star)</w:t>
            </w:r>
          </w:p>
        </w:tc>
        <w:tc>
          <w:tcPr>
            <w:tcW w:type="dxa" w:w="5000"/>
            <w:shd w:fill="F7F3FB" w:val="clear"/>
            <w:tcMar>
              <w:top w:type="dxa" w:w="50"/>
              <w:left w:type="dxa" w:w="90"/>
              <w:bottom w:type="dxa" w:w="50"/>
              <w:right w:type="dxa" w:w="90"/>
            </w:tcMar>
          </w:tcPr>
          <w:p>
            <w:pPr>
              <w:spacing w:after="20"/>
            </w:pPr>
            <w:r>
              <w:rPr>
                <w:color w:val="2B2338"/>
                <w:sz w:val="18"/>
                <w:szCs w:val="18"/>
              </w:rPr>
              <w:t xml:space="preserve">web/src/components/ (inline SVGs; reuse Sparkle for the star)</w:t>
            </w:r>
          </w:p>
        </w:tc>
      </w:tr>
      <w:tr>
        <w:tc>
          <w:tcPr>
            <w:tcW w:type="dxa" w:w="4200"/>
            <w:shd w:fill="FFFFFF" w:val="clear"/>
            <w:tcMar>
              <w:top w:type="dxa" w:w="50"/>
              <w:left w:type="dxa" w:w="90"/>
              <w:bottom w:type="dxa" w:w="50"/>
              <w:right w:type="dxa" w:w="90"/>
            </w:tcMar>
          </w:tcPr>
          <w:p>
            <w:pPr>
              <w:spacing w:after="20"/>
            </w:pPr>
            <w:r>
              <w:rPr>
                <w:color w:val="2B2338"/>
                <w:sz w:val="18"/>
                <w:szCs w:val="18"/>
              </w:rPr>
              <w:t xml:space="preserve">Optional: mirror the on-site programme on About</w:t>
            </w:r>
          </w:p>
        </w:tc>
        <w:tc>
          <w:tcPr>
            <w:tcW w:type="dxa" w:w="5000"/>
            <w:shd w:fill="FFFFFF" w:val="clear"/>
            <w:tcMar>
              <w:top w:type="dxa" w:w="50"/>
              <w:left w:type="dxa" w:w="90"/>
              <w:bottom w:type="dxa" w:w="50"/>
              <w:right w:type="dxa" w:w="90"/>
            </w:tcMar>
          </w:tcPr>
          <w:p>
            <w:pPr>
              <w:spacing w:after="20"/>
            </w:pPr>
            <w:r>
              <w:rPr>
                <w:color w:val="2B2338"/>
                <w:sz w:val="18"/>
                <w:szCs w:val="18"/>
              </w:rPr>
              <w:t xml:space="preserve">web/src/app/[locale]/about/page.tsx</w:t>
            </w:r>
          </w:p>
        </w:tc>
      </w:tr>
    </w:tbl>
    <w:p>
      <w:pPr>
        <w:spacing w:before="240"/>
      </w:pPr>
      <w:r>
        <w:rPr>
          <w:i/>
          <w:iCs/>
          <w:color w:val="6E4FA3"/>
          <w:sz w:val="20"/>
          <w:szCs w:val="20"/>
        </w:rPr>
        <w:t xml:space="preserve">End of Specification v2.0.</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WePresent by COATI — Website Technical Specification v2.0</dc:title>
  <dc:creator>WePresent by COATI</dc:creator>
  <cp:lastModifiedBy>Un-named</cp:lastModifiedBy>
  <cp:revision>1</cp:revision>
  <dcterms:created xsi:type="dcterms:W3CDTF">2026-07-25T08:06:13.761Z</dcterms:created>
  <dcterms:modified xsi:type="dcterms:W3CDTF">2026-07-25T08:06:13.761Z</dcterms:modified>
</cp:coreProperties>
</file>

<file path=docProps/custom.xml><?xml version="1.0" encoding="utf-8"?>
<Properties xmlns="http://schemas.openxmlformats.org/officeDocument/2006/custom-properties" xmlns:vt="http://schemas.openxmlformats.org/officeDocument/2006/docPropsVTypes"/>
</file>