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b/>
          <w:bCs/>
          <w:color w:val="3E2C55"/>
          <w:spacing w:val="80"/>
          <w:sz w:val="64"/>
          <w:szCs w:val="64"/>
        </w:rPr>
        <w:t xml:space="preserve">WE PRESENT</w:t>
      </w:r>
    </w:p>
    <w:p>
      <w:pPr>
        <w:spacing w:after="40"/>
        <w:jc w:val="center"/>
      </w:pPr>
      <w:r>
        <w:rPr>
          <w:i/>
          <w:iCs/>
          <w:color w:val="6E4FA3"/>
          <w:sz w:val="30"/>
          <w:szCs w:val="30"/>
        </w:rPr>
        <w:t xml:space="preserve">by Coati</w:t>
      </w:r>
    </w:p>
    <w:p>
      <w:pPr>
        <w:spacing w:after="260"/>
        <w:jc w:val="center"/>
      </w:pPr>
      <w:r>
        <w:rPr>
          <w:color w:val="2B2338"/>
          <w:sz w:val="30"/>
          <w:szCs w:val="30"/>
        </w:rPr>
        <w:t xml:space="preserve">Website Technical Specification</w:t>
      </w:r>
    </w:p>
    <w:p>
      <w:pPr>
        <w:spacing w:after="40"/>
        <w:jc w:val="center"/>
      </w:pPr>
      <w:r>
        <w:rPr>
          <w:color w:val="2B2338"/>
          <w:sz w:val="20"/>
          <w:szCs w:val="20"/>
        </w:rPr>
        <w:t xml:space="preserve">2026 Season — Maldives Tours · TTM Maldives 2026 · Cinnamon Resorts (Oct) · Oman (Dec) · Kenya</w:t>
      </w:r>
    </w:p>
    <w:p>
      <w:pPr>
        <w:spacing w:after="40"/>
        <w:jc w:val="center"/>
      </w:pPr>
      <w:r>
        <w:rPr>
          <w:b/>
          <w:bCs/>
          <w:color w:val="C9A24B"/>
          <w:sz w:val="22"/>
          <w:szCs w:val="22"/>
        </w:rPr>
        <w:t xml:space="preserve">Version 1.8 (Client-feedback revision) · July 2026</w:t>
      </w:r>
    </w:p>
    <w:p>
      <w:pPr>
        <w:spacing w:after="300"/>
        <w:jc w:val="center"/>
      </w:pPr>
      <w:r>
        <w:rPr>
          <w:color w:val="2B2338"/>
          <w:sz w:val="20"/>
          <w:szCs w:val="20"/>
        </w:rPr>
        <w:t xml:space="preserve">Prepared for: WePresent by COATI · COATI Global Sales Agency</w:t>
      </w:r>
    </w:p>
    <w:p>
      <w:pPr>
        <w:pBdr>
          <w:left w:val="single" w:color="6E4FA3" w:sz="18" w:space="8"/>
        </w:pBdr>
        <w:shd w:fill="F3ECFB" w:val="clear"/>
        <w:spacing w:after="140" w:before="100"/>
      </w:pPr>
      <w:r>
        <w:rPr>
          <w:b/>
          <w:bCs/>
          <w:color w:val="6E4FA3"/>
          <w:sz w:val="20"/>
          <w:szCs w:val="20"/>
        </w:rPr>
        <w:t xml:space="preserve">How to use this document. </w:t>
      </w:r>
      <w:r>
        <w:rPr>
          <w:color w:val="2B2338"/>
          <w:sz w:val="20"/>
          <w:szCs w:val="20"/>
        </w:rPr>
        <w:t xml:space="preserve">v1.8 supersedes v1.7 and folds in the client's first round of website feedback (three chat messages plus Daria's page-by-page text revisions and the invitation copy). Changes are tagged NEW / CHANGED / FIX inline. Sections 1–14 are the full specification; Appendix A is the brand-naming rulebook, Appendix B the exact RU/EN replacement copy, Appendix C a file-level change checklist for Claude Code, and Appendix D the assets received vs. still pending. Hand the whole file to Claude Code as the reference for this revision.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Document Control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Document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WePresent by COATI — Website Technical Specification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Version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1.8 — Client-feedback revision (supersedes v1.7)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Status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21"/>
                <w:szCs w:val="21"/>
              </w:rPr>
              <w:t xml:space="preserve">Incorporates client feedback round 1. Key actions: brand renamed to </w:t>
            </w:r>
          </w:p>
          <w:p>
            <w:pPr>
              <w:spacing w:after="20"/>
            </w:pPr>
            <w:r>
              <w:rPr>
                <w:b/>
                <w:bCs/>
                <w:color w:val="2B2338"/>
                <w:sz w:val="21"/>
                <w:szCs w:val="21"/>
              </w:rPr>
              <w:t xml:space="preserve">COATI Global Sales Agency</w:t>
            </w:r>
          </w:p>
          <w:p>
            <w:pPr>
              <w:spacing w:after="20"/>
            </w:pPr>
            <w:r>
              <w:rPr>
                <w:color w:val="2B2338"/>
                <w:sz w:val="21"/>
                <w:szCs w:val="21"/>
              </w:rPr>
              <w:t xml:space="preserve"> / project </w:t>
            </w:r>
          </w:p>
          <w:p>
            <w:pPr>
              <w:spacing w:after="20"/>
            </w:pPr>
            <w:r>
              <w:rPr>
                <w:b/>
                <w:bCs/>
                <w:color w:val="2B2338"/>
                <w:sz w:val="21"/>
                <w:szCs w:val="21"/>
              </w:rPr>
              <w:t xml:space="preserve">WePresent by COATI</w:t>
            </w:r>
          </w:p>
          <w:p>
            <w:pPr>
              <w:spacing w:after="20"/>
            </w:pPr>
            <w:r>
              <w:rPr>
                <w:color w:val="2B2338"/>
                <w:sz w:val="21"/>
                <w:szCs w:val="21"/>
              </w:rPr>
              <w:t xml:space="preserve">; Madifushi atoll corrected to Meemu; Cinnamon Resorts (Oct 2026) and Kenya added; contrast and Russian-typography fixes specified; content portal prioritised.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 Global Sales Agency (Russia / CIS market)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Target completion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Ahead of the first 2026 tour (17 August 2026); event season Aug–Dec 2026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Key changes since v1.7 (client feedback, July 2026)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This revision is driven entirely by client feedback. Each item is expanded in the referenced section.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Brand &amp; naming (global)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Company name is </w:t>
      </w:r>
      <w:r>
        <w:rPr>
          <w:b/>
          <w:bCs/>
          <w:color w:val="2B2338"/>
          <w:sz w:val="21"/>
          <w:szCs w:val="21"/>
        </w:rPr>
        <w:t xml:space="preserve">COATI Global Sales Agency</w:t>
      </w:r>
      <w:r>
        <w:rPr>
          <w:color w:val="2B2338"/>
          <w:sz w:val="21"/>
          <w:szCs w:val="21"/>
        </w:rPr>
        <w:t xml:space="preserve">. </w:t>
      </w:r>
      <w:r>
        <w:rPr>
          <w:b/>
          <w:bCs/>
          <w:color w:val="2B2338"/>
          <w:sz w:val="21"/>
          <w:szCs w:val="21"/>
        </w:rPr>
        <w:t xml:space="preserve">“Coati Travel” must no longer be used anywhere</w:t>
      </w:r>
      <w:r>
        <w:rPr>
          <w:color w:val="2B2338"/>
          <w:sz w:val="21"/>
          <w:szCs w:val="21"/>
        </w:rPr>
        <w:t xml:space="preserve">. Project name is </w:t>
      </w:r>
      <w:r>
        <w:rPr>
          <w:b/>
          <w:bCs/>
          <w:color w:val="2B2338"/>
          <w:sz w:val="21"/>
          <w:szCs w:val="21"/>
        </w:rPr>
        <w:t xml:space="preserve">WePresent by COATI</w:t>
      </w:r>
      <w:r>
        <w:rPr>
          <w:color w:val="2B2338"/>
          <w:sz w:val="21"/>
          <w:szCs w:val="21"/>
        </w:rPr>
        <w:t xml:space="preserve"> (logo reads “WE PRESENT by Coati”). See Appendix 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Small UI (buttons, captions) → </w:t>
      </w:r>
      <w:r>
        <w:rPr>
          <w:b/>
          <w:bCs/>
          <w:color w:val="2B2338"/>
          <w:sz w:val="21"/>
          <w:szCs w:val="21"/>
        </w:rPr>
        <w:t xml:space="preserve">“Coati”</w:t>
      </w:r>
      <w:r>
        <w:rPr>
          <w:color w:val="2B2338"/>
          <w:sz w:val="21"/>
          <w:szCs w:val="21"/>
        </w:rPr>
        <w:t xml:space="preserve">; body text → </w:t>
      </w:r>
      <w:r>
        <w:rPr>
          <w:b/>
          <w:bCs/>
          <w:color w:val="2B2338"/>
          <w:sz w:val="21"/>
          <w:szCs w:val="21"/>
        </w:rPr>
        <w:t xml:space="preserve">“COATI Global Sales Agency”</w:t>
      </w:r>
      <w:r>
        <w:rPr>
          <w:color w:val="2B2338"/>
          <w:sz w:val="21"/>
          <w:szCs w:val="21"/>
        </w:rPr>
        <w:t xml:space="preserve">. Footer “Проект Coati Travel →” → “Проект Coati”; “МАТЕРИНСКАЯ КОМПАНИЯ” → “Эксклюзивная инициатива / Проект Coati”.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Logo &amp; brand identity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The website wordmark font does </w:t>
      </w:r>
      <w:r>
        <w:rPr>
          <w:i/>
          <w:iCs/>
          <w:color w:val="2B2338"/>
          <w:sz w:val="21"/>
          <w:szCs w:val="21"/>
        </w:rPr>
        <w:t xml:space="preserve">not</w:t>
      </w:r>
      <w:r>
        <w:rPr>
          <w:color w:val="2B2338"/>
          <w:sz w:val="21"/>
          <w:szCs w:val="21"/>
        </w:rPr>
        <w:t xml:space="preserve"> match the brand logo. Use the official logo (SVG </w:t>
      </w:r>
      <w:r>
        <w:rPr>
          <w:b/>
          <w:bCs/>
          <w:color w:val="2B2338"/>
          <w:sz w:val="21"/>
          <w:szCs w:val="21"/>
        </w:rPr>
        <w:t xml:space="preserve">pending from the designer</w:t>
      </w:r>
      <w:r>
        <w:rPr>
          <w:color w:val="2B2338"/>
          <w:sz w:val="21"/>
          <w:szCs w:val="21"/>
        </w:rPr>
        <w:t xml:space="preserve">), not a web-font recreation. §4.3, Appendix 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Make the </w:t>
      </w:r>
      <w:r>
        <w:rPr>
          <w:b/>
          <w:bCs/>
          <w:color w:val="2B2338"/>
          <w:sz w:val="21"/>
          <w:szCs w:val="21"/>
        </w:rPr>
        <w:t xml:space="preserve">four-point star (sparkle)</w:t>
      </w:r>
      <w:r>
        <w:rPr>
          <w:color w:val="2B2338"/>
          <w:sz w:val="21"/>
          <w:szCs w:val="21"/>
        </w:rPr>
        <w:t xml:space="preserve"> and the </w:t>
      </w:r>
      <w:r>
        <w:rPr>
          <w:b/>
          <w:bCs/>
          <w:color w:val="2B2338"/>
          <w:sz w:val="21"/>
          <w:szCs w:val="21"/>
        </w:rPr>
        <w:t xml:space="preserve">WP monogram</w:t>
      </w:r>
      <w:r>
        <w:rPr>
          <w:color w:val="2B2338"/>
          <w:sz w:val="21"/>
          <w:szCs w:val="21"/>
        </w:rPr>
        <w:t xml:space="preserve"> more prominent and repeated across sections for a cohesive brand feel. §4.3–4.4.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Content &amp; structure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6E4FA3" w:val="clear"/>
        </w:rPr>
        <w:t xml:space="preserve">  NEW  </w:t>
      </w:r>
      <w:r>
        <w:rPr>
          <w:color w:val="2B2338"/>
          <w:sz w:val="21"/>
          <w:szCs w:val="21"/>
        </w:rPr>
        <w:t xml:space="preserve">  Add a short project introduction on the home page (currently unclear what WePresent is). Source = the invitation. §1, §6.2, Appendix B.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Make the home page more </w:t>
      </w:r>
      <w:r>
        <w:rPr>
          <w:b/>
          <w:bCs/>
          <w:color w:val="2B2338"/>
          <w:sz w:val="21"/>
          <w:szCs w:val="21"/>
        </w:rPr>
        <w:t xml:space="preserve">destination-neutral</w:t>
      </w:r>
      <w:r>
        <w:rPr>
          <w:color w:val="2B2338"/>
          <w:sz w:val="21"/>
          <w:szCs w:val="21"/>
        </w:rPr>
        <w:t xml:space="preserve"> — the programme spans Maldives, Oman, Kenya and more. §6.2.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6E4FA3" w:val="clear"/>
        </w:rPr>
        <w:t xml:space="preserve">  NEW  </w:t>
      </w:r>
      <w:r>
        <w:rPr>
          <w:color w:val="2B2338"/>
          <w:sz w:val="21"/>
          <w:szCs w:val="21"/>
        </w:rPr>
        <w:t xml:space="preserve">  Two new programmes: </w:t>
      </w:r>
      <w:r>
        <w:rPr>
          <w:b/>
          <w:bCs/>
          <w:color w:val="2B2338"/>
          <w:sz w:val="21"/>
          <w:szCs w:val="21"/>
        </w:rPr>
        <w:t xml:space="preserve">Cinnamon Resorts Maldives — October 2026</w:t>
      </w:r>
      <w:r>
        <w:rPr>
          <w:color w:val="2B2338"/>
          <w:sz w:val="21"/>
          <w:szCs w:val="21"/>
        </w:rPr>
        <w:t xml:space="preserve"> (separate fam, “coming soon”) and </w:t>
      </w:r>
      <w:r>
        <w:rPr>
          <w:b/>
          <w:bCs/>
          <w:color w:val="2B2338"/>
          <w:sz w:val="21"/>
          <w:szCs w:val="21"/>
        </w:rPr>
        <w:t xml:space="preserve">Kenya — dates TBC</w:t>
      </w:r>
      <w:r>
        <w:rPr>
          <w:color w:val="2B2338"/>
          <w:sz w:val="21"/>
          <w:szCs w:val="21"/>
        </w:rPr>
        <w:t xml:space="preserve">. §3.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Tour 2 must </w:t>
      </w:r>
      <w:r>
        <w:rPr>
          <w:i/>
          <w:iCs/>
          <w:color w:val="2B2338"/>
          <w:sz w:val="21"/>
          <w:szCs w:val="21"/>
        </w:rPr>
        <w:t xml:space="preserve">not</w:t>
      </w:r>
      <w:r>
        <w:rPr>
          <w:color w:val="2B2338"/>
          <w:sz w:val="21"/>
          <w:szCs w:val="21"/>
        </w:rPr>
        <w:t xml:space="preserve"> be the “inaugural” tour — neutral wording. §3.3.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Madifushi atoll wrong — </w:t>
      </w:r>
      <w:r>
        <w:rPr>
          <w:b/>
          <w:bCs/>
          <w:color w:val="2B2338"/>
          <w:sz w:val="21"/>
          <w:szCs w:val="21"/>
        </w:rPr>
        <w:t xml:space="preserve">“Thaa Atoll” → “Meemu Atoll” everywhere</w:t>
      </w:r>
      <w:r>
        <w:rPr>
          <w:color w:val="2B2338"/>
          <w:sz w:val="21"/>
          <w:szCs w:val="21"/>
        </w:rPr>
        <w:t xml:space="preserve"> (EN+RU, all pages/data). §6.6, Appendix C.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RU labels: About → </w:t>
      </w:r>
      <w:r>
        <w:rPr>
          <w:b/>
          <w:bCs/>
          <w:color w:val="2B2338"/>
          <w:sz w:val="21"/>
          <w:szCs w:val="21"/>
        </w:rPr>
        <w:t xml:space="preserve">О ПРОЕКТЕ</w:t>
      </w:r>
      <w:r>
        <w:rPr>
          <w:color w:val="2B2338"/>
          <w:sz w:val="21"/>
          <w:szCs w:val="21"/>
        </w:rPr>
        <w:t xml:space="preserve">; Tours → </w:t>
      </w:r>
      <w:r>
        <w:rPr>
          <w:b/>
          <w:bCs/>
          <w:color w:val="2B2338"/>
          <w:sz w:val="21"/>
          <w:szCs w:val="21"/>
        </w:rPr>
        <w:t xml:space="preserve">ПРОГРАММЫ</w:t>
      </w:r>
      <w:r>
        <w:rPr>
          <w:color w:val="2B2338"/>
          <w:sz w:val="21"/>
          <w:szCs w:val="21"/>
        </w:rPr>
        <w:t xml:space="preserve">; “Ближайший тур” → </w:t>
      </w:r>
      <w:r>
        <w:rPr>
          <w:b/>
          <w:bCs/>
          <w:color w:val="2B2338"/>
          <w:sz w:val="21"/>
          <w:szCs w:val="21"/>
        </w:rPr>
        <w:t xml:space="preserve">Ближайшая программа</w:t>
      </w:r>
      <w:r>
        <w:rPr>
          <w:color w:val="2B2338"/>
          <w:sz w:val="21"/>
          <w:szCs w:val="21"/>
        </w:rPr>
        <w:t xml:space="preserve">; Tours title drops “— коротко”. Appendix B.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Design, display &amp; accessibility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Contrast too low — </w:t>
      </w:r>
      <w:r>
        <w:rPr>
          <w:b/>
          <w:bCs/>
          <w:color w:val="2B2338"/>
          <w:sz w:val="21"/>
          <w:szCs w:val="21"/>
        </w:rPr>
        <w:t xml:space="preserve">white and lilac look nearly identical</w:t>
      </w:r>
      <w:r>
        <w:rPr>
          <w:color w:val="2B2338"/>
          <w:sz w:val="21"/>
          <w:szCs w:val="21"/>
        </w:rPr>
        <w:t xml:space="preserve">; elements blend into the background. §4.1.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Russian version renders wrong (misaligned, inconsistent fonts, overlap) — </w:t>
      </w:r>
      <w:r>
        <w:rPr>
          <w:b/>
          <w:bCs/>
          <w:color w:val="2B2338"/>
          <w:sz w:val="21"/>
          <w:szCs w:val="21"/>
        </w:rPr>
        <w:t xml:space="preserve">incomplete Cyrillic coverage in some fonts/weights</w:t>
      </w:r>
      <w:r>
        <w:rPr>
          <w:color w:val="2B2338"/>
          <w:sz w:val="21"/>
          <w:szCs w:val="21"/>
        </w:rPr>
        <w:t xml:space="preserve">. §4.2, §7.1.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Mobile: the “WE PRESENT BY COATI” line under the logo is mis-positioned — align to the English version. §6.1.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Partners: logos </w:t>
      </w:r>
      <w:r>
        <w:rPr>
          <w:b/>
          <w:bCs/>
          <w:color w:val="2B2338"/>
          <w:sz w:val="21"/>
          <w:szCs w:val="21"/>
        </w:rPr>
        <w:t xml:space="preserve">bigger, aligned, and clickable to the hotel's website</w:t>
      </w:r>
      <w:r>
        <w:rPr>
          <w:color w:val="2B2338"/>
          <w:sz w:val="21"/>
          <w:szCs w:val="21"/>
        </w:rPr>
        <w:t xml:space="preserve">. §6.7.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Replace the main hero photo (low quality) and the Madifushi hero photo (staircase → client's aerial). §4.4, §6.6, Appendix D.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Access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The client wants to edit text and photos themselves </w:t>
      </w:r>
      <w:r>
        <w:rPr>
          <w:b/>
          <w:bCs/>
          <w:color w:val="2B2338"/>
          <w:sz w:val="21"/>
          <w:szCs w:val="21"/>
        </w:rPr>
        <w:t xml:space="preserve">as soon as possible</w:t>
      </w:r>
      <w:r>
        <w:rPr>
          <w:color w:val="2B2338"/>
          <w:sz w:val="21"/>
          <w:szCs w:val="21"/>
        </w:rPr>
        <w:t xml:space="preserve"> — prioritise the content portal (§9.2).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1. Project Overview &amp; Objectives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“WePresent by COATI” is a B2B initiative by </w:t>
      </w:r>
      <w:r>
        <w:rPr>
          <w:b/>
          <w:bCs/>
          <w:color w:val="2B2338"/>
          <w:sz w:val="21"/>
          <w:szCs w:val="21"/>
        </w:rPr>
        <w:t xml:space="preserve">COATI Global Sales Agency</w:t>
      </w:r>
      <w:r>
        <w:rPr>
          <w:color w:val="2B2338"/>
          <w:sz w:val="21"/>
          <w:szCs w:val="21"/>
        </w:rPr>
        <w:t xml:space="preserve">, specialising in the Russia and CIS outbound market. The programme organises curated, limited-access familiarization trips that bring selected travel-agency representatives to a destination to experience its resorts first-hand and, where relevant, attend the destination's leading travel-trade event. Selection is merit-based, driven by agency production (room nights).</w:t>
      </w:r>
    </w:p>
    <w:p>
      <w:pPr>
        <w:pBdr>
          <w:left w:val="single" w:color="6E4FA3" w:sz="18" w:space="8"/>
        </w:pBdr>
        <w:shd w:fill="F3ECFB" w:val="clear"/>
        <w:spacing w:after="140" w:before="100"/>
      </w:pPr>
      <w:r>
        <w:rPr>
          <w:b/>
          <w:bCs/>
          <w:color w:val="6E4FA3"/>
          <w:sz w:val="20"/>
          <w:szCs w:val="20"/>
        </w:rPr>
        <w:t xml:space="preserve">Project description (client-approved source — the invitation). </w:t>
      </w:r>
      <w:r>
        <w:rPr>
          <w:color w:val="2B2338"/>
          <w:sz w:val="20"/>
          <w:szCs w:val="20"/>
        </w:rPr>
        <w:t xml:space="preserve">Basis for the new home-page introduction: “WePresent by COATI is a prestigious initiative from COATI Global Sales Agency, uniting the most influential leaders in the tourism industry, elite media representatives, digital-platform innovators, journalists, tour operators, their exclusive agency partners, and key industry professionals. The project offers carefully curated, limited-access outbound business events — a unique space for strategic networking, sharing cutting-edge expertise, forming new partnerships, and delivering measurable business results.” Full RU + EN in Appendix B.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6E4FA3" w:val="clear"/>
        </w:rPr>
        <w:t xml:space="preserve">  NEW  </w:t>
      </w:r>
      <w:r>
        <w:rPr>
          <w:color w:val="2B2338"/>
          <w:sz w:val="21"/>
          <w:szCs w:val="21"/>
        </w:rPr>
        <w:t xml:space="preserve">  Rather than a single event, WePresent runs an ongoing series of tours across </w:t>
      </w:r>
      <w:r>
        <w:rPr>
          <w:b/>
          <w:bCs/>
          <w:color w:val="2B2338"/>
          <w:sz w:val="21"/>
          <w:szCs w:val="21"/>
        </w:rPr>
        <w:t xml:space="preserve">multiple destinations</w:t>
      </w:r>
      <w:r>
        <w:rPr>
          <w:color w:val="2B2338"/>
          <w:sz w:val="21"/>
          <w:szCs w:val="21"/>
        </w:rPr>
        <w:t xml:space="preserve">. The 2026 launch season includes two Maldives tours in August (one combined with TTM 2026), a Cinnamon Resorts Maldives fam in October, and an Oman tour in December, with Kenya and further destinations to follow. The site presents an evolving, </w:t>
      </w:r>
      <w:r>
        <w:rPr>
          <w:b/>
          <w:bCs/>
          <w:color w:val="2B2338"/>
          <w:sz w:val="21"/>
          <w:szCs w:val="21"/>
        </w:rPr>
        <w:t xml:space="preserve">destination-neutral</w:t>
      </w:r>
      <w:r>
        <w:rPr>
          <w:color w:val="2B2338"/>
          <w:sz w:val="21"/>
          <w:szCs w:val="21"/>
        </w:rPr>
        <w:t xml:space="preserve"> calendar of trips, not one fixed Maldives itinerary.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For each edition the participating group is already confirmed: the site is not a tool to recruit attendees. Its role is to give the programme a polished presence — showcase the concept, tours, resorts and partners, keep the calendar current, and support inquiries and forward interest.</w:t>
      </w:r>
    </w:p>
    <w:p>
      <w:pPr>
        <w:pStyle w:val="Heading3"/>
        <w:spacing w:after="80" w:before="180"/>
      </w:pPr>
      <w:r>
        <w:rPr>
          <w:b/>
          <w:bCs/>
          <w:color w:val="2B2338"/>
          <w:sz w:val="22"/>
          <w:szCs w:val="22"/>
        </w:rPr>
        <w:t xml:space="preserve">Primary objectives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Present the WePresent concept and its multi-destination calendar with a premium, editorial aesthetic on par with the reference luxury-hospitality brands.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Open the home page with a clear, short explanation of what WePresent is (client feedback).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Show all upcoming trips on a clear Tours Calendar / Timeline.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Give each partner resort a dedicated page, with partner and TTM branding shown clearly and resort logos linking to the hotels' own sites.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Let agents and clients send inquiries directly from each hotel page.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Let hotels request partnership via a dedicated form.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Keep a general contact / private-trip inquiry channel open.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Capture forward interest for future editions (agent registration under a “WePresent 2027” framing).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Let the COATI team maintain tour dates, event details, text and photos themselves through a back-end portal — the client's top priority.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2. Target Audience &amp; User Roles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The site is fully bilingual (Russian + English), Russian primary — see §7.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300"/>
      </w:tblGrid>
      <w:tr>
        <w:trPr>
          <w:tblHeader/>
        </w:trPr>
        <w:tc>
          <w:tcPr>
            <w:tcW w:type="dxa" w:w="29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3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Needs &amp; primary action</w:t>
            </w:r>
          </w:p>
        </w:tc>
      </w:tr>
      <w:tr>
        <w:tc>
          <w:tcPr>
            <w:tcW w:type="dxa" w:w="29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Travel agents / agency reps</w:t>
            </w:r>
          </w:p>
        </w:tc>
        <w:tc>
          <w:tcPr>
            <w:tcW w:type="dxa" w:w="6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Explore the programme, the calendar and the resorts; send inquiries; register interest for the next edition.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Clients / prospective guests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Browse tours and resorts and request rates/availability via the per-hotel inquiry form.</w:t>
            </w:r>
          </w:p>
        </w:tc>
      </w:tr>
      <w:tr>
        <w:tc>
          <w:tcPr>
            <w:tcW w:type="dxa" w:w="29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General visitors</w:t>
            </w:r>
          </w:p>
        </w:tc>
        <w:tc>
          <w:tcPr>
            <w:tcW w:type="dxa" w:w="6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Discover the project, browse, and get in touch or request a private trip via the contact form.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Hotels / resorts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Request partnership via the partnership form (with file upload).</w:t>
            </w:r>
          </w:p>
        </w:tc>
      </w:tr>
      <w:tr>
        <w:tc>
          <w:tcPr>
            <w:tcW w:type="dxa" w:w="29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Associated partners (incl. TTM)</w:t>
            </w:r>
          </w:p>
        </w:tc>
        <w:tc>
          <w:tcPr>
            <w:tcW w:type="dxa" w:w="6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Brand visibility — logos and short blurbs on the tour/partners pages.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 content editors (portal)</w:t>
            </w:r>
          </w:p>
        </w:tc>
        <w:tc>
          <w:tcPr>
            <w:tcW w:type="dxa" w:w="6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Log in to update tour dates, itineraries, event details, text and photos — §9.2.</w:t>
            </w:r>
          </w:p>
        </w:tc>
      </w:tr>
      <w:tr>
        <w:tc>
          <w:tcPr>
            <w:tcW w:type="dxa" w:w="29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 internal team</w:t>
            </w:r>
          </w:p>
        </w:tc>
        <w:tc>
          <w:tcPr>
            <w:tcW w:type="dxa" w:w="6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Receive and act on all form submissions and uploaded files.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3. Tours &amp; Itineraries — 2026 Season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WePresent runs multiple tours per year across several destinations, presented as a Tours Calendar / Timeline (§6.4). Dates and details are editable via the portal (§9.2).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3.1 Tours calendar (overview)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800"/>
        <w:gridCol w:w="1700"/>
      </w:tblGrid>
      <w:tr>
        <w:trPr>
          <w:tblHeader/>
        </w:trPr>
        <w:tc>
          <w:tcPr>
            <w:tcW w:type="dxa" w:w="13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4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Programme</w:t>
            </w:r>
          </w:p>
        </w:tc>
        <w:tc>
          <w:tcPr>
            <w:tcW w:type="dxa" w:w="28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17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2026</w:t>
            </w:r>
          </w:p>
        </w:tc>
        <w:tc>
          <w:tcPr>
            <w:tcW w:type="dxa" w:w="3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Maldives · Tour 1</w:t>
            </w:r>
          </w:p>
        </w:tc>
        <w:tc>
          <w:tcPr>
            <w:tcW w:type="dxa" w:w="28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17–23 August 2026</w:t>
            </w:r>
          </w:p>
        </w:tc>
        <w:tc>
          <w:tcPr>
            <w:tcW w:type="dxa" w:w="1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2026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Maldives + TTM · Tour 2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28 August – 3 September 2026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1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2026</w:t>
            </w:r>
          </w:p>
        </w:tc>
        <w:tc>
          <w:tcPr>
            <w:tcW w:type="dxa" w:w="3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Cinnamon Resorts Maldives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  <w:shd w:fill="6E4FA3" w:val="clear"/>
              </w:rPr>
              <w:t xml:space="preserve">  NEW  </w:t>
            </w:r>
          </w:p>
        </w:tc>
        <w:tc>
          <w:tcPr>
            <w:tcW w:type="dxa" w:w="28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October 2026</w:t>
            </w:r>
          </w:p>
        </w:tc>
        <w:tc>
          <w:tcPr>
            <w:tcW w:type="dxa" w:w="1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Coming soon</w:t>
            </w:r>
          </w:p>
        </w:tc>
      </w:tr>
      <w:tr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2026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Oman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December 2026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Coming soon</w:t>
            </w:r>
          </w:p>
        </w:tc>
      </w:tr>
      <w:tr>
        <w:tc>
          <w:tcPr>
            <w:tcW w:type="dxa" w:w="1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2026 / 27</w:t>
            </w:r>
          </w:p>
        </w:tc>
        <w:tc>
          <w:tcPr>
            <w:tcW w:type="dxa" w:w="3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Kenya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  <w:shd w:fill="6E4FA3" w:val="clear"/>
              </w:rPr>
              <w:t xml:space="preserve">  NEW  </w:t>
            </w:r>
          </w:p>
        </w:tc>
        <w:tc>
          <w:tcPr>
            <w:tcW w:type="dxa" w:w="28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Dates to be confirmed</w:t>
            </w:r>
          </w:p>
        </w:tc>
        <w:tc>
          <w:tcPr>
            <w:tcW w:type="dxa" w:w="1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Coming soon</w:t>
            </w:r>
          </w:p>
        </w:tc>
      </w:tr>
      <w:tr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2027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Further destinations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To be announced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Coming soon</w:t>
            </w:r>
          </w:p>
        </w:tc>
      </w:tr>
    </w:tbl>
    <w:p>
      <w:pPr>
        <w:pBdr>
          <w:left w:val="single" w:color="6E4FA3" w:sz="18" w:space="8"/>
        </w:pBdr>
        <w:shd w:fill="F3ECFB" w:val="clear"/>
        <w:spacing w:after="140" w:before="100"/>
      </w:pPr>
      <w:r>
        <w:rPr>
          <w:b/>
          <w:bCs/>
          <w:color w:val="6E4FA3"/>
          <w:sz w:val="20"/>
          <w:szCs w:val="20"/>
        </w:rPr>
        <w:t xml:space="preserve">Open question for the client — “TTM Tier 1 / Tier 2”. </w:t>
      </w:r>
      <w:r>
        <w:rPr>
          <w:color w:val="2B2338"/>
          <w:sz w:val="20"/>
          <w:szCs w:val="20"/>
        </w:rPr>
        <w:t xml:space="preserve">In the client's latest message the two August Maldives tours were called “TTM tier 1” and “TTM tier 2”. This spec keeps “Tour 1” / “Tour 2” until confirmed. Confirm: should the two August tours be renamed “TTM Tier 1” / “TTM Tier 2”, and which is which (Tour 1 = 17–23 Aug, no TTM; Tour 2 = 28 Aug–3 Sep, attends TTM)? Cinnamon, Oman and Kenya are separate fams and unaffected.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3.2 Tour 1 — Maldives · 17–23 August 2026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A three-resort familiarization tour. Same concept as Tour 2, but without the Madifushi stop and without TTM attendance.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00"/>
      </w:tblGrid>
      <w:tr>
        <w:trPr>
          <w:tblHeader/>
        </w:trPr>
        <w:tc>
          <w:tcPr>
            <w:tcW w:type="dxa" w:w="32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Resort</w:t>
            </w:r>
          </w:p>
        </w:tc>
        <w:tc>
          <w:tcPr>
            <w:tcW w:type="dxa" w:w="28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32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SO/ Maldives</w:t>
            </w:r>
          </w:p>
        </w:tc>
        <w:tc>
          <w:tcPr>
            <w:tcW w:type="dxa" w:w="28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17–19 Aug (2 nights)</w:t>
            </w:r>
          </w:p>
        </w:tc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Resort stop 1.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Fushifaru Maldives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19–21 Aug (2 nights)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Resort stop 2.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Meyyafushi Maldives</w:t>
            </w:r>
          </w:p>
        </w:tc>
        <w:tc>
          <w:tcPr>
            <w:tcW w:type="dxa" w:w="28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21–23 Aug (2 nights)</w:t>
            </w:r>
          </w:p>
        </w:tc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Resort stop 3; departure 23 Aug.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3.3 Tour 2 — Maldives + TTM · 28 August – 3 September 2026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A Maldives tour combining attendance at Travel Trade Maldives (TTM) 2026 with a partner-resort tour. </w:t>
      </w:r>
      <w:r>
        <w:rPr>
          <w:b/>
          <w:bCs/>
          <w:color w:val="2B2338"/>
          <w:sz w:val="21"/>
          <w:szCs w:val="21"/>
        </w:rPr>
        <w:t xml:space="preserve">(Neutral wording per client — do not call this the “inaugural” tour.)</w:t>
      </w:r>
      <w:r>
        <w:rPr>
          <w:color w:val="2B2338"/>
          <w:sz w:val="21"/>
          <w:szCs w:val="21"/>
        </w:rPr>
        <w:t xml:space="preserve"> End date is 3 September (previously 5 September).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400"/>
      </w:tblGrid>
      <w:tr>
        <w:trPr>
          <w:tblHeader/>
        </w:trPr>
        <w:tc>
          <w:tcPr>
            <w:tcW w:type="dxa" w:w="32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Stop</w:t>
            </w:r>
          </w:p>
        </w:tc>
        <w:tc>
          <w:tcPr>
            <w:tcW w:type="dxa" w:w="2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34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TTM Maldives</w:t>
            </w:r>
          </w:p>
        </w:tc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26–27 Aug</w:t>
            </w:r>
          </w:p>
        </w:tc>
        <w:tc>
          <w:tcPr>
            <w:tcW w:type="dxa" w:w="3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Travel Trade Maldives 2026 (10th edition); Awards &amp; Gala Night 27 Aug.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Fushifaru Maldives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28–30 Aug (2 nights)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Resort stop 1.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Meyyafushi Maldives</w:t>
            </w:r>
          </w:p>
        </w:tc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30 Aug–1 Sep (2 nights)</w:t>
            </w:r>
          </w:p>
        </w:tc>
        <w:tc>
          <w:tcPr>
            <w:tcW w:type="dxa" w:w="3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Resort stop 2.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SO/ Maldives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1–3 Sep (2 nights)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Resort stop 3; departure 3 Sep.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Madifushi Private Island</w:t>
            </w:r>
          </w:p>
        </w:tc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To confirm</w:t>
            </w:r>
          </w:p>
        </w:tc>
        <w:tc>
          <w:tcPr>
            <w:tcW w:type="dxa" w:w="3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Inclusion within the shorter window still to be confirmed.</w:t>
            </w:r>
          </w:p>
        </w:tc>
      </w:tr>
    </w:tbl>
    <w:p>
      <w:pPr>
        <w:pBdr>
          <w:left w:val="single" w:color="6E4FA3" w:sz="18" w:space="8"/>
        </w:pBdr>
        <w:shd w:fill="F3ECFB" w:val="clear"/>
        <w:spacing w:after="140" w:before="100"/>
      </w:pPr>
      <w:r>
        <w:rPr>
          <w:b/>
          <w:bCs/>
          <w:color w:val="6E4FA3"/>
          <w:sz w:val="20"/>
          <w:szCs w:val="20"/>
        </w:rPr>
        <w:t xml:space="preserve">To confirm with client. </w:t>
      </w:r>
      <w:r>
        <w:rPr>
          <w:color w:val="2B2338"/>
          <w:sz w:val="20"/>
          <w:szCs w:val="20"/>
        </w:rPr>
        <w:t xml:space="preserve">Confirm exact per-resort nights and whether Madifushi stays in the 28 Aug–3 Sep window. The invitation lists an 8-night, 28 Aug–5 Sep programme including Madifushi; the client's calendar shortened it to 3 Sep — reconcile before printing final dates.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3.4 Cinnamon Resorts Maldives — October 2026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6E4FA3" w:val="clear"/>
        </w:rPr>
        <w:t xml:space="preserve">  NEW  </w:t>
      </w:r>
      <w:r>
        <w:rPr>
          <w:color w:val="2B2338"/>
          <w:sz w:val="21"/>
          <w:szCs w:val="21"/>
        </w:rPr>
        <w:t xml:space="preserve">  A separate Maldives familiarization fam with Cinnamon Resorts, in </w:t>
      </w:r>
      <w:r>
        <w:rPr>
          <w:b/>
          <w:bCs/>
          <w:color w:val="2B2338"/>
          <w:sz w:val="21"/>
          <w:szCs w:val="21"/>
        </w:rPr>
        <w:t xml:space="preserve">October 2026</w:t>
      </w:r>
      <w:r>
        <w:rPr>
          <w:color w:val="2B2338"/>
          <w:sz w:val="21"/>
          <w:szCs w:val="21"/>
        </w:rPr>
        <w:t xml:space="preserve">. Not part of Tour 2. Exact dates and resort line-up not yet set; shown as “coming soon” and completed via the portal.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3.5 Oman — December 2026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An Oman familiarization tour in December 2026. Dates and line-up not yet set; shown as “December — dates coming soon”.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3.6 Kenya — dates to be confirmed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6E4FA3" w:val="clear"/>
        </w:rPr>
        <w:t xml:space="preserve">  NEW  </w:t>
      </w:r>
      <w:r>
        <w:rPr>
          <w:color w:val="2B2338"/>
          <w:sz w:val="21"/>
          <w:szCs w:val="21"/>
        </w:rPr>
        <w:t xml:space="preserve">  A Kenya familiarization tour, dates TBC. Shown as “coming soon” (RU: “Кения — даты уточняются”), completed via the portal.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3.7 Scope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In scope for v1: bilingual marketing site; a multi-destination Tours Calendar / Timeline; a page/section per resort; per-hotel inquiry forms; a hotel partnership form; the retained agent-registration (interest) form; a general contact / private-trip form; a “How It Was” section; partner + TTM logo/blurb display with clickable hotel logos; media galleries; a back-end content portal for tour dates, event details, text and photos; hosting/domain/email setup.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Out of scope for v1: applicant scoring/automation, CRM integration, booking/payment management.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4. Design &amp; Visual Identity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A light, airy pastel luxury aesthetic — warm ivory and soft lilac with a warm metallic-gold accent from the logo and printed collateral, and generous whitespace; the restraint and craft of the reference brands, with a distinctive contemporary character.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4.1 Colour palette — and the contrast fix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Client feedback: </w:t>
      </w:r>
      <w:r>
        <w:rPr>
          <w:b/>
          <w:bCs/>
          <w:color w:val="2B2338"/>
          <w:sz w:val="21"/>
          <w:szCs w:val="21"/>
        </w:rPr>
        <w:t xml:space="preserve">white and lilac read as nearly the same tone, and elements blend into the background.</w:t>
      </w:r>
      <w:r>
        <w:rPr>
          <w:color w:val="2B2338"/>
          <w:sz w:val="21"/>
          <w:szCs w:val="21"/>
        </w:rPr>
        <w:t xml:space="preserve"> The hexes stay, but their </w:t>
      </w:r>
      <w:r>
        <w:rPr>
          <w:i/>
          <w:iCs/>
          <w:color w:val="2B2338"/>
          <w:sz w:val="21"/>
          <w:szCs w:val="21"/>
        </w:rPr>
        <w:t xml:space="preserve">application</w:t>
      </w:r>
      <w:r>
        <w:rPr>
          <w:color w:val="2B2338"/>
          <w:sz w:val="21"/>
          <w:szCs w:val="21"/>
        </w:rPr>
        <w:t xml:space="preserve"> must change to restore contrast: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Separate the two lightest surfaces. </w:t>
      </w:r>
      <w:r>
        <w:rPr>
          <w:color w:val="2B2338"/>
          <w:sz w:val="21"/>
          <w:szCs w:val="21"/>
        </w:rPr>
        <w:t xml:space="preserve">Don't place near-white ivory (#FCFAF6) directly against lavender mist (#F3ECFB) with no boundary. Use </w:t>
      </w:r>
      <w:r>
        <w:rPr>
          <w:b/>
          <w:bCs/>
          <w:color w:val="2B2338"/>
          <w:sz w:val="21"/>
          <w:szCs w:val="21"/>
        </w:rPr>
        <w:t xml:space="preserve">soft lilac (#DCC9F0)</w:t>
      </w:r>
      <w:r>
        <w:rPr>
          <w:color w:val="2B2338"/>
          <w:sz w:val="21"/>
          <w:szCs w:val="21"/>
        </w:rPr>
        <w:t xml:space="preserve"> for cards/panels and add a hairline border or shadow so raised surfaces are clearly distinct.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Darken secondary text. </w:t>
      </w:r>
      <w:r>
        <w:rPr>
          <w:color w:val="2B2338"/>
          <w:sz w:val="21"/>
          <w:szCs w:val="21"/>
        </w:rPr>
        <w:t xml:space="preserve">Replace low-opacity greys (the /60, /40 noted in earlier audits) with higher-opacity ink or amethyst so all text clears WCAG 2.1 AA.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Strengthen section rhythm. </w:t>
      </w:r>
      <w:r>
        <w:rPr>
          <w:color w:val="2B2338"/>
          <w:sz w:val="21"/>
          <w:szCs w:val="21"/>
        </w:rPr>
        <w:t xml:space="preserve">Where alternating ivory / lavender bands are indistinguishable, deepen the alternate band or add a divider.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Keep gold for fills only. </w:t>
      </w:r>
      <w:r>
        <w:rPr>
          <w:color w:val="2B2338"/>
          <w:sz w:val="21"/>
          <w:szCs w:val="21"/>
        </w:rPr>
        <w:t xml:space="preserve">Gold stays for buttons, dividers, kickers, the sparkle — never small text on light; text accents use amethyst/aubergine.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300"/>
      </w:tblGrid>
      <w:tr>
        <w:trPr>
          <w:tblHeader/>
        </w:trPr>
        <w:tc>
          <w:tcPr>
            <w:tcW w:type="dxa" w:w="24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Ivory / warm white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#FCFAF6</w:t>
            </w:r>
          </w:p>
        </w:tc>
        <w:tc>
          <w:tcPr>
            <w:tcW w:type="dxa" w:w="5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Primary page background.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Lavender mist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#F3ECFB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Alternate section backgrounds — pair with a divider, not directly against ivory.</w:t>
            </w:r>
          </w:p>
        </w:tc>
      </w:tr>
      <w:tr>
        <w:tc>
          <w:tcPr>
            <w:tcW w:type="dxa" w:w="2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Soft lilac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#DCC9F0</w:t>
            </w:r>
          </w:p>
        </w:tc>
        <w:tc>
          <w:tcPr>
            <w:tcW w:type="dxa" w:w="5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Cards and raised surfaces — now the default panel colour for contrast.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Lilac (mid-tone)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#C3A5E6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Buttons, hovers and accents on light sections.</w:t>
            </w:r>
          </w:p>
        </w:tc>
      </w:tr>
      <w:tr>
        <w:tc>
          <w:tcPr>
            <w:tcW w:type="dxa" w:w="2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Amethyst (deep accent)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#6E4FA3</w:t>
            </w:r>
          </w:p>
        </w:tc>
        <w:tc>
          <w:tcPr>
            <w:tcW w:type="dxa" w:w="5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Headings accent, links, small text accents.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Aubergine (darkest)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#3E2C55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Footer, deep bands, strong text; grounding.</w:t>
            </w:r>
          </w:p>
        </w:tc>
      </w:tr>
      <w:tr>
        <w:tc>
          <w:tcPr>
            <w:tcW w:type="dxa" w:w="2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Gold (primary accent)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#C9A24B</w:t>
            </w:r>
          </w:p>
        </w:tc>
        <w:tc>
          <w:tcPr>
            <w:tcW w:type="dxa" w:w="5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Buttons, dividers, kickers, sparkle — fills, not small text.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Ink (text on light)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#2B2338</w:t>
            </w:r>
          </w:p>
        </w:tc>
        <w:tc>
          <w:tcPr>
            <w:tcW w:type="dxa" w:w="5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Body text on ivory/lilac.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4.2 Typography — and the Russian-rendering fix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Display / headings: a high-contrast editorial serif (e.g., Playfair Display). Body: Manrope. Accents / kickers: Manrope uppercase with wide letter-spacing, in amethyst or on a gold rule.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Client feedback: the Russian fonts look inconsistent and text shifts/overlaps, </w:t>
      </w:r>
      <w:r>
        <w:rPr>
          <w:b/>
          <w:bCs/>
          <w:color w:val="2B2338"/>
          <w:sz w:val="21"/>
          <w:szCs w:val="21"/>
        </w:rPr>
        <w:t xml:space="preserve">because not every font/weight has full Cyrillic coverage.</w:t>
      </w:r>
      <w:r>
        <w:rPr>
          <w:color w:val="2B2338"/>
          <w:sz w:val="21"/>
          <w:szCs w:val="21"/>
        </w:rPr>
        <w:t xml:space="preserve"> Requirements: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Every font and weight used must include a complete Cyrillic subset. </w:t>
      </w:r>
      <w:r>
        <w:rPr>
          <w:color w:val="2B2338"/>
          <w:sz w:val="21"/>
          <w:szCs w:val="21"/>
        </w:rPr>
        <w:t xml:space="preserve">Where a weight lacks Cyrillic, load a Cyrillic-complete alternative or restrict to weights that have it — no silent system-font fallback (the cause of the mismatch).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Verify the display serif's Cyrillic. </w:t>
      </w:r>
      <w:r>
        <w:rPr>
          <w:color w:val="2B2338"/>
          <w:sz w:val="21"/>
          <w:szCs w:val="21"/>
        </w:rPr>
        <w:t xml:space="preserve">Playfair Display's Cyrillic differs in feel; if RU headings look off, switch the RU display face to a Cyrillic-first high-contrast serif, gated by locale.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Re-check uppercase + wide tracking on Cyrillic. </w:t>
      </w:r>
      <w:r>
        <w:rPr>
          <w:color w:val="2B2338"/>
          <w:sz w:val="21"/>
          <w:szCs w:val="21"/>
        </w:rPr>
        <w:t xml:space="preserve">Wide tracking on Russian all-caps reads awkwardly and can overflow — reduce tracking for RU or use sentence case.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Test line-height and container widths with real Russian strings </w:t>
      </w:r>
      <w:r>
        <w:rPr>
          <w:color w:val="2B2338"/>
          <w:sz w:val="21"/>
          <w:szCs w:val="21"/>
        </w:rPr>
        <w:t xml:space="preserve">(often longer than English) — fix wrapping, overlap and shifted baselines.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4.3 Logo usage — font correction &amp; prominence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The site's “WE PRESENT” wordmark is set in a web font that </w:t>
      </w:r>
      <w:r>
        <w:rPr>
          <w:b/>
          <w:bCs/>
          <w:color w:val="2B2338"/>
          <w:sz w:val="21"/>
          <w:szCs w:val="21"/>
        </w:rPr>
        <w:t xml:space="preserve">does not match the brand logo.</w:t>
      </w:r>
      <w:r>
        <w:rPr>
          <w:color w:val="2B2338"/>
          <w:sz w:val="21"/>
          <w:szCs w:val="21"/>
        </w:rPr>
        <w:t xml:space="preserve"> Use the </w:t>
      </w:r>
      <w:r>
        <w:rPr>
          <w:b/>
          <w:bCs/>
          <w:color w:val="2B2338"/>
          <w:sz w:val="21"/>
          <w:szCs w:val="21"/>
        </w:rPr>
        <w:t xml:space="preserve">official logo artwork</w:t>
      </w:r>
      <w:r>
        <w:rPr>
          <w:color w:val="2B2338"/>
          <w:sz w:val="21"/>
          <w:szCs w:val="21"/>
        </w:rPr>
        <w:t xml:space="preserve"> rather than re-typesetting it. The vector logo (SVG) is </w:t>
      </w:r>
      <w:r>
        <w:rPr>
          <w:b/>
          <w:bCs/>
          <w:color w:val="2B2338"/>
          <w:sz w:val="21"/>
          <w:szCs w:val="21"/>
        </w:rPr>
        <w:t xml:space="preserve">pending from the client's designer</w:t>
      </w:r>
      <w:r>
        <w:rPr>
          <w:color w:val="2B2338"/>
          <w:sz w:val="21"/>
          <w:szCs w:val="21"/>
        </w:rPr>
        <w:t xml:space="preserve"> (Appendix D) — keep the placeholder but do not finalise the header until it arrives.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Use the </w:t>
      </w:r>
      <w:r>
        <w:rPr>
          <w:b/>
          <w:bCs/>
          <w:color w:val="2B2338"/>
          <w:sz w:val="21"/>
          <w:szCs w:val="21"/>
        </w:rPr>
        <w:t xml:space="preserve">four-point star (sparkle)</w:t>
      </w:r>
      <w:r>
        <w:rPr>
          <w:color w:val="2B2338"/>
          <w:sz w:val="21"/>
          <w:szCs w:val="21"/>
        </w:rPr>
        <w:t xml:space="preserve"> and the </w:t>
      </w:r>
      <w:r>
        <w:rPr>
          <w:b/>
          <w:bCs/>
          <w:color w:val="2B2338"/>
          <w:sz w:val="21"/>
          <w:szCs w:val="21"/>
        </w:rPr>
        <w:t xml:space="preserve">WP monogram</w:t>
      </w:r>
      <w:r>
        <w:rPr>
          <w:color w:val="2B2338"/>
          <w:sz w:val="21"/>
          <w:szCs w:val="21"/>
        </w:rPr>
        <w:t xml:space="preserve"> more prominently and repeatedly — e.g., section divider/kicker motif, scroll cue, watermark behind quotes, list bullets, favicon, form success states. Keep the sparkle's position relative to the P consistent.</w:t>
      </w:r>
    </w:p>
    <w:p>
      <w:pPr>
        <w:pStyle w:val="Heading3"/>
        <w:spacing w:after="80" w:before="180"/>
      </w:pPr>
      <w:r>
        <w:rPr>
          <w:b/>
          <w:bCs/>
          <w:color w:val="2B2338"/>
          <w:sz w:val="22"/>
          <w:szCs w:val="22"/>
        </w:rPr>
        <w:t xml:space="preserve">Lock-up &amp; colour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Wordmark reads </w:t>
      </w:r>
      <w:r>
        <w:rPr>
          <w:b/>
          <w:bCs/>
          <w:color w:val="2B2338"/>
          <w:sz w:val="21"/>
          <w:szCs w:val="21"/>
        </w:rPr>
        <w:t xml:space="preserve">“WE PRESENT”</w:t>
      </w:r>
      <w:r>
        <w:rPr>
          <w:color w:val="2B2338"/>
          <w:sz w:val="21"/>
          <w:szCs w:val="21"/>
        </w:rPr>
        <w:t xml:space="preserve"> with “by Coati” centred beneath, flanked by two short rules. </w:t>
      </w:r>
      <w:r>
        <w:rPr>
          <w:b/>
          <w:bCs/>
          <w:color w:val="2B2338"/>
          <w:sz w:val="21"/>
          <w:szCs w:val="21"/>
        </w:rPr>
        <w:t xml:space="preserve">Never “by Coati Travel.”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On light sections use amethyst / aubergine or gold; on aubergine use ivory/white or gold. Web gold matches the collateral's metallic gold.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4.4 Layout, imagery &amp; motion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b/>
          <w:bCs/>
          <w:color w:val="2B2338"/>
          <w:sz w:val="21"/>
          <w:szCs w:val="21"/>
        </w:rPr>
        <w:t xml:space="preserve">  Replace the main hero image (quality too low). </w:t>
      </w:r>
      <w:r>
        <w:rPr>
          <w:color w:val="2B2338"/>
          <w:sz w:val="21"/>
          <w:szCs w:val="21"/>
        </w:rPr>
        <w:t xml:space="preserve">The client will select the best resort photos; use a high-resolution, bright image (or short video) with a legibility scrim.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Full-bleed hero; alternating ivory / soft-lilac sections (clearer separation per §4.1); generous whitespace and large type.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Slow, refined motion — gentle parallax, fades and scroll reveals; respect prefers-reduced-motion.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Responsive, mobile-first; imagery optimised for retina yet fast (§11).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5. Technical Architecture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Custom-coded (Next.js / React) statically-rendered front end, a small serverless back end for forms, and a lightweight Git-based CMS. Tailwind + centralised design tokens; Framer Motion. Media optimised (AVIF/WebP, responsive sizes; optimised video streams). Avoid Cloudflare-based media (§10).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5.1 Rendering &amp; deployment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Marketing pages statically generated; form endpoints as serverless functions. Portal content stored as structured files in the repo; saving in the CMS commits + triggers a rebuild/redeploy within minutes. Deployment on AWS — see §10 for the Russia-accessibility constraints.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6. Information Architecture &amp; Build Specification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Sitemap for v1; all pages exist in Russian and English.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 / section</w:t>
            </w:r>
          </w:p>
        </w:tc>
        <w:tc>
          <w:tcPr>
            <w:tcW w:type="dxa" w:w="6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 &amp; key content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Home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Hero; a short intro to what WePresent is (NEW); the calendar highlight; upcoming-tour teasers; clickable partner-logo strip; a “How It Was” taster; CTAs.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About “WePresent”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Programme story, how it works, the merit / room-nights model.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Tours (Calendar / Timeline)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All upcoming trips across destinations (Maldives ×2, Cinnamon Oct, Oman Dec, Kenya TBC; 2027 coming soon).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Tour detail (per tour)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The dated itinerary, its resorts, and — where relevant — the TTM overview and partner branding.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Resort pages (×N)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 page per resort: hero, description, key facts, story, official website link, inquiry form.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How It Was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Photos, trip reports and reviews from past tours (§6.9).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Partners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Associated-partner logos (bigger, aligned, clickable to hotel sites) + short profiles; link to the partnership form.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Register Interest (Agents)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The retained registration form, framed as interest for the next edition (§8.1).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Become a Partner (Hotels)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Hotel partnership request form with file upload (§8.3).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Contact</w:t>
            </w:r>
          </w:p>
        </w:tc>
        <w:tc>
          <w:tcPr>
            <w:tcW w:type="dxa" w:w="6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General contact / private-trip inquiry form + COATI contact details and social links (§8.5).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Legal</w:t>
            </w:r>
          </w:p>
        </w:tc>
        <w:tc>
          <w:tcPr>
            <w:tcW w:type="dxa" w:w="6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Privacy policy &amp; consent, cookie notice.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6.1 Global elements (all pages)</w:t>
      </w:r>
    </w:p>
    <w:p>
      <w:pPr>
        <w:pStyle w:val="Heading3"/>
        <w:spacing w:after="80" w:before="180"/>
      </w:pPr>
      <w:r>
        <w:rPr>
          <w:b/>
          <w:bCs/>
          <w:color w:val="2B2338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Left: WP monogram + wordmark. Descriptor is </w:t>
      </w:r>
      <w:r>
        <w:rPr>
          <w:b/>
          <w:bCs/>
          <w:color w:val="2B2338"/>
          <w:sz w:val="21"/>
          <w:szCs w:val="21"/>
        </w:rPr>
        <w:t xml:space="preserve">“We Present — by Coati”</w:t>
      </w:r>
      <w:r>
        <w:rPr>
          <w:color w:val="2B2338"/>
          <w:sz w:val="21"/>
          <w:szCs w:val="21"/>
        </w:rPr>
        <w:t xml:space="preserve"> — </w:t>
      </w:r>
      <w:r>
        <w:rPr>
          <w:b/>
          <w:bCs/>
          <w:color w:val="2B2338"/>
          <w:sz w:val="21"/>
          <w:szCs w:val="21"/>
        </w:rPr>
        <w:t xml:space="preserve">not “by Coati Travel.”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Centre/right: nav — About, Tours, Resorts, Partners, How It Was, Contact; RU/EN switcher; a gold “Register Interest” CTA. (Nav fits from xl / 1280px; hamburger below.)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Mobile: the “WE PRESENT BY COATI” line beneath the logo is mis-positioned in the Russian view — </w:t>
      </w:r>
      <w:r>
        <w:rPr>
          <w:b/>
          <w:bCs/>
          <w:color w:val="2B2338"/>
          <w:sz w:val="21"/>
          <w:szCs w:val="21"/>
        </w:rPr>
        <w:t xml:space="preserve">align it to match the English version</w:t>
      </w:r>
      <w:r>
        <w:rPr>
          <w:color w:val="2B2338"/>
          <w:sz w:val="21"/>
          <w:szCs w:val="21"/>
        </w:rPr>
        <w:t xml:space="preserve">; re-check logo sizing and text visibility at small widths.</w:t>
      </w:r>
    </w:p>
    <w:p>
      <w:pPr>
        <w:pStyle w:val="Heading3"/>
        <w:spacing w:after="80" w:before="180"/>
      </w:pPr>
      <w:r>
        <w:rPr>
          <w:b/>
          <w:bCs/>
          <w:color w:val="2B2338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Deep-aubergine with gold hairline dividers; zones: Brand, Explore, Contact, Follow (Instagram), Parent brand, Legal row.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Parent-brand block: replace “МАТЕРИНСКАЯ КОМПАНИЯ / Проект Coati Travel →” with </w:t>
      </w:r>
      <w:r>
        <w:rPr>
          <w:b/>
          <w:bCs/>
          <w:color w:val="2B2338"/>
          <w:sz w:val="21"/>
          <w:szCs w:val="21"/>
        </w:rPr>
        <w:t xml:space="preserve">“Эксклюзивная инициатива / Проект Coati”</w:t>
      </w:r>
      <w:r>
        <w:rPr>
          <w:color w:val="2B2338"/>
          <w:sz w:val="21"/>
          <w:szCs w:val="21"/>
        </w:rPr>
        <w:t xml:space="preserve"> (EN: “An exclusive initiative / A project by Coati”). Parent brand is </w:t>
      </w:r>
      <w:r>
        <w:rPr>
          <w:b/>
          <w:bCs/>
          <w:color w:val="2B2338"/>
          <w:sz w:val="21"/>
          <w:szCs w:val="21"/>
        </w:rPr>
        <w:t xml:space="preserve">COATI Global Sales Agency</w:t>
      </w:r>
      <w:r>
        <w:rPr>
          <w:color w:val="2B2338"/>
          <w:sz w:val="21"/>
          <w:szCs w:val="21"/>
        </w:rPr>
        <w:t xml:space="preserve">; confirm link/logo (Appendix D).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6.2 Home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6E4FA3" w:val="clear"/>
        </w:rPr>
        <w:t xml:space="preserve">  NEW  </w:t>
      </w:r>
      <w:r>
        <w:rPr>
          <w:color w:val="2B2338"/>
          <w:sz w:val="21"/>
          <w:szCs w:val="21"/>
        </w:rPr>
        <w:t xml:space="preserve">  Intro block: </w:t>
      </w:r>
      <w:r>
        <w:rPr>
          <w:b/>
          <w:bCs/>
          <w:color w:val="2B2338"/>
          <w:sz w:val="21"/>
          <w:szCs w:val="21"/>
        </w:rPr>
        <w:t xml:space="preserve">a short paragraph explaining what WePresent is</w:t>
      </w:r>
      <w:r>
        <w:rPr>
          <w:color w:val="2B2338"/>
          <w:sz w:val="21"/>
          <w:szCs w:val="21"/>
        </w:rPr>
        <w:t xml:space="preserve"> (from the invitation — Appendix B), placed high so a first-time visitor immediately understands the project.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Keep the top of the page </w:t>
      </w:r>
      <w:r>
        <w:rPr>
          <w:b/>
          <w:bCs/>
          <w:color w:val="2B2338"/>
          <w:sz w:val="21"/>
          <w:szCs w:val="21"/>
        </w:rPr>
        <w:t xml:space="preserve">destination-neutral</w:t>
      </w:r>
      <w:r>
        <w:rPr>
          <w:color w:val="2B2338"/>
          <w:sz w:val="21"/>
          <w:szCs w:val="21"/>
        </w:rPr>
        <w:t xml:space="preserve"> — not Maldives-only. Maldives-specific hero copy may stay for the current season, but the concept/intro must read across destinations.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Hero: full-viewport image/short video with scrim; gold kicker, large serif headline, lead line, upcoming-tours pill, gold CTA. </w:t>
      </w:r>
      <w:r>
        <w:rPr>
          <w:b/>
          <w:bCs/>
          <w:color w:val="2B2338"/>
          <w:sz w:val="21"/>
          <w:szCs w:val="21"/>
        </w:rPr>
        <w:t xml:space="preserve">New RU hero copy in Appendix B.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Concept (ivory): centred serif-italic lede introducing WePresent, a supporting paragraph (new copy — Appendix B), a gold divider and a ghost button to About.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Calendar highlight, Resorts, Partners (clickable logos), How It Was taster, Register band — as below.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6.3 About “WePresent”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A slim banner; alternating story blocks — the concept; how it works; the merit / room-nights model as three steps; benefits for agents. Replace any “Coati Travel” with “COATI Global Sales Agency.”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6.4 Tours (Calendar / Timeline)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Page title drops “— коротко”: RU </w:t>
      </w:r>
      <w:r>
        <w:rPr>
          <w:b/>
          <w:bCs/>
          <w:color w:val="2B2338"/>
          <w:sz w:val="21"/>
          <w:szCs w:val="21"/>
        </w:rPr>
        <w:t xml:space="preserve">“Сезон 2026 года”</w:t>
      </w:r>
      <w:r>
        <w:rPr>
          <w:color w:val="2B2338"/>
          <w:sz w:val="21"/>
          <w:szCs w:val="21"/>
        </w:rPr>
        <w:t xml:space="preserve"> (EN “The 2026 season”).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The client finds this page </w:t>
      </w:r>
      <w:r>
        <w:rPr>
          <w:b/>
          <w:bCs/>
          <w:color w:val="2B2338"/>
          <w:sz w:val="21"/>
          <w:szCs w:val="21"/>
        </w:rPr>
        <w:t xml:space="preserve">disorganised / not aligned</w:t>
      </w:r>
      <w:r>
        <w:rPr>
          <w:color w:val="2B2338"/>
          <w:sz w:val="21"/>
          <w:szCs w:val="21"/>
        </w:rPr>
        <w:t xml:space="preserve"> — tighten vertical rhythm, align year labels/dates/status pills to a consistent grid, even out card spacing.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6E4FA3" w:val="clear"/>
        </w:rPr>
        <w:t xml:space="preserve">  NEW  </w:t>
      </w:r>
      <w:r>
        <w:rPr>
          <w:color w:val="2B2338"/>
          <w:sz w:val="21"/>
          <w:szCs w:val="21"/>
        </w:rPr>
        <w:t xml:space="preserve">  Add </w:t>
      </w:r>
      <w:r>
        <w:rPr>
          <w:b/>
          <w:bCs/>
          <w:color w:val="2B2338"/>
          <w:sz w:val="21"/>
          <w:szCs w:val="21"/>
        </w:rPr>
        <w:t xml:space="preserve">Cinnamon Resorts Maldives (Oct 2026)</w:t>
      </w:r>
      <w:r>
        <w:rPr>
          <w:color w:val="2B2338"/>
          <w:sz w:val="21"/>
          <w:szCs w:val="21"/>
        </w:rPr>
        <w:t xml:space="preserve"> and </w:t>
      </w:r>
      <w:r>
        <w:rPr>
          <w:b/>
          <w:bCs/>
          <w:color w:val="2B2338"/>
          <w:sz w:val="21"/>
          <w:szCs w:val="21"/>
        </w:rPr>
        <w:t xml:space="preserve">Kenya (dates TBC)</w:t>
      </w:r>
      <w:r>
        <w:rPr>
          <w:color w:val="2B2338"/>
          <w:sz w:val="21"/>
          <w:szCs w:val="21"/>
        </w:rPr>
        <w:t xml:space="preserve"> as “coming soon” entries alongside Oman.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Coming-soon block: RU </w:t>
      </w:r>
      <w:r>
        <w:rPr>
          <w:b/>
          <w:bCs/>
          <w:color w:val="2B2338"/>
          <w:sz w:val="21"/>
          <w:szCs w:val="21"/>
        </w:rPr>
        <w:t xml:space="preserve">“Скоро / Готовим новые направления”</w:t>
      </w:r>
      <w:r>
        <w:rPr>
          <w:color w:val="2B233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Unconfirmed tours show a clear “coming soon” state; all dates/labels editable via the portal.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6.5 Tour detail (per tour)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Hero with tour name, destination and dates; the full dated itinerary as a vertical timeline, each stop linking to its resort page; for the TTM tour, a short TTM 2026 overview and partner-branding block.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6.6 Resort pages (template)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Full-bleed hero: resort name, atoll and stay dates. Story; key-facts card; gallery with lightbox; inquiry form; prev/next nav.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Madifushi: atoll is wrong. Correct to </w:t>
      </w:r>
      <w:r>
        <w:rPr>
          <w:b/>
          <w:bCs/>
          <w:color w:val="2B2338"/>
          <w:sz w:val="21"/>
          <w:szCs w:val="21"/>
        </w:rPr>
        <w:t xml:space="preserve">Meemu Atoll</w:t>
      </w:r>
      <w:r>
        <w:rPr>
          <w:color w:val="2B2338"/>
          <w:sz w:val="21"/>
          <w:szCs w:val="21"/>
        </w:rPr>
        <w:t xml:space="preserve"> (RU: </w:t>
      </w:r>
      <w:r>
        <w:rPr>
          <w:b/>
          <w:bCs/>
          <w:color w:val="2B2338"/>
          <w:sz w:val="21"/>
          <w:szCs w:val="21"/>
        </w:rPr>
        <w:t xml:space="preserve">Атолл Меему</w:t>
      </w:r>
      <w:r>
        <w:rPr>
          <w:color w:val="2B2338"/>
          <w:sz w:val="21"/>
          <w:szCs w:val="21"/>
        </w:rPr>
        <w:t xml:space="preserve">) in the hero, key facts, story and data — </w:t>
      </w:r>
      <w:r>
        <w:rPr>
          <w:b/>
          <w:bCs/>
          <w:color w:val="2B2338"/>
          <w:sz w:val="21"/>
          <w:szCs w:val="21"/>
        </w:rPr>
        <w:t xml:space="preserve">everywhere it appears.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Madifushi hero photo: replace the staircase image — </w:t>
      </w:r>
      <w:r>
        <w:rPr>
          <w:b/>
          <w:bCs/>
          <w:color w:val="2B2338"/>
          <w:sz w:val="21"/>
          <w:szCs w:val="21"/>
        </w:rPr>
        <w:t xml:space="preserve">the client supplied an aerial replacement</w:t>
      </w:r>
      <w:r>
        <w:rPr>
          <w:color w:val="2B2338"/>
          <w:sz w:val="21"/>
          <w:szCs w:val="21"/>
        </w:rPr>
        <w:t xml:space="preserve"> (save into the Madifushi image set; Appendix C/D). Update the card image if it uses the staircase shot.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6.7 Partners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Make the resort logos </w:t>
      </w:r>
      <w:r>
        <w:rPr>
          <w:b/>
          <w:bCs/>
          <w:color w:val="2B2338"/>
          <w:sz w:val="21"/>
          <w:szCs w:val="21"/>
        </w:rPr>
        <w:t xml:space="preserve">bigger and better aligned</w:t>
      </w:r>
      <w:r>
        <w:rPr>
          <w:color w:val="2B2338"/>
          <w:sz w:val="21"/>
          <w:szCs w:val="21"/>
        </w:rPr>
        <w:t xml:space="preserve"> on a consistent baseline.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Make each logo </w:t>
      </w:r>
      <w:r>
        <w:rPr>
          <w:b/>
          <w:bCs/>
          <w:color w:val="2B2338"/>
          <w:sz w:val="21"/>
          <w:szCs w:val="21"/>
        </w:rPr>
        <w:t xml:space="preserve">clickable, linking to that hotel's official website</w:t>
      </w:r>
      <w:r>
        <w:rPr>
          <w:color w:val="2B2338"/>
          <w:sz w:val="21"/>
          <w:szCs w:val="21"/>
        </w:rPr>
        <w:t xml:space="preserve"> (new tab). Applies to the home partner strip and the Partners page.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Lower-section concept text: replace with the client's new copy (</w:t>
      </w:r>
      <w:r>
        <w:rPr>
          <w:i/>
          <w:iCs/>
          <w:color w:val="2B2338"/>
          <w:sz w:val="21"/>
          <w:szCs w:val="21"/>
        </w:rPr>
        <w:t xml:space="preserve">“An exclusive series of business events for leading travel-industry professionals … our collection's finest resorts”</w:t>
      </w:r>
      <w:r>
        <w:rPr>
          <w:color w:val="2B2338"/>
          <w:sz w:val="21"/>
          <w:szCs w:val="21"/>
        </w:rPr>
        <w:t xml:space="preserve">) — full RU in Appendix B.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A CTA to the “Become a Partner” form.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6.8 Register Interest &amp; Become a Partner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Registration and partnership forms on soft-lilac cards over ivory — gold focus states, clear upload zones, consent checkbox, gold submit, elegant success state. Both route to COATI.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6.9 How It Was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Opens in a graceful “coming soon” state (2026 is the launch season) and fills in after the first tours via the portal: photo galleries, trip reports, agent reviews, hotel-partner reviews, highlights. Pre-first-tour placeholder so it never looks empty.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6.10 Contact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Retained by client request: general contact / private-trip inquiry form (§8.5) plus the project email, phone and office address, and the Instagram link.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7. Bilingual Support (Russian + English)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Locale-based routing (/ru, /en) with a persistent switcher; Russian as default. All copy, labels, validation and emails translated; content stored per locale, including portal-managed content. hreflang tags and localised meta; Cyrillic-complete fonts.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7.1 Russian rendering — priority fix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9B2226" w:val="clear"/>
        </w:rPr>
        <w:t xml:space="preserve">  FIX  </w:t>
      </w:r>
      <w:r>
        <w:rPr>
          <w:color w:val="2B2338"/>
          <w:sz w:val="21"/>
          <w:szCs w:val="21"/>
        </w:rPr>
        <w:t xml:space="preserve">  The client reports the Russian version does not display correctly vs English — misaligned text, inconsistent fonts, overlap/shift. Treat as a launch-blocking defect. Actions (see also §4.2):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Audit every font/weight for Cyrillic coverage; eliminate system-font fallback.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Apply the client's revised Russian copy from Appendix B (current text is a first-pass machine translation; the client supplied corrected wording).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Re-flow and re-test each page in Russian at desktop and mobile widths; fix wrapping, overlap and baseline shifts from longer Russian strings and uppercase letter-spacing.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The client will continue refining Russian copy via the portal once access is live.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8. Forms &amp; Submission Handling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Four forms — agent registration/interest (§8.1), per-hotel inquiry (§8.2), hotel partnership (§8.3), general contact/private-trip (§8.5) — each validating server-side and emailing the COATI mailbox, with a branded acknowledgement to the sender and a durable backup record. Uploads: type whitelist (PDF/JPG/PNG/DOCX/XLSX) with a size cap, stored privately and shared by secure link. Anti-spam via honeypot + server-side rate limiting; avoid Cloudflare Turnstile and be cautious with reCAPTCHA in Russia (§10). Consent checkbox + privacy policy on every form. (Field lists unchanged from v1.7.)</w:t>
      </w:r>
    </w:p>
    <w:p>
      <w:pPr>
        <w:pBdr>
          <w:left w:val="single" w:color="6E4FA3" w:sz="18" w:space="8"/>
        </w:pBdr>
        <w:shd w:fill="F3ECFB" w:val="clear"/>
        <w:spacing w:after="140" w:before="100"/>
      </w:pPr>
      <w:r>
        <w:rPr>
          <w:b/>
          <w:bCs/>
          <w:color w:val="6E4FA3"/>
          <w:sz w:val="20"/>
          <w:szCs w:val="20"/>
        </w:rPr>
        <w:t xml:space="preserve">Naming in outbound mail. </w:t>
      </w:r>
      <w:r>
        <w:rPr>
          <w:color w:val="2B2338"/>
          <w:sz w:val="20"/>
          <w:szCs w:val="20"/>
        </w:rPr>
        <w:t xml:space="preserve">Acknowledgement emails and templates must use “WePresent by COATI” / “COATI Global Sales Agency” — not “Coati Travel.”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9. Back End — Forms &amp; Content Portal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9.1 Form back end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Serverless endpoint (AWS Lambda + API Gateway, or a Next.js route handler) that validates, stores files and triggers email. Outbound mail from the professional domain email on WePresent.org with SPF/DKIM/DMARC; private S3 for uploads with a defined retention policy; a running record of every submission as a durable backup.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9.2 Content management portal — client's top priority</w:t>
      </w:r>
    </w:p>
    <w:p>
      <w:pPr>
        <w:spacing w:after="120" w:line="276"/>
      </w:pPr>
      <w:r>
        <w:rPr>
          <w:b/>
          <w:bCs/>
          <w:color w:val="FFFFFF"/>
          <w:sz w:val="16"/>
          <w:szCs w:val="16"/>
          <w:shd w:fill="C9A24B" w:val="clear"/>
        </w:rPr>
        <w:t xml:space="preserve">  CHANGED  </w:t>
      </w:r>
      <w:r>
        <w:rPr>
          <w:color w:val="2B2338"/>
          <w:sz w:val="21"/>
          <w:szCs w:val="21"/>
        </w:rPr>
        <w:t xml:space="preserve">  The client's most urgent ask is to </w:t>
      </w:r>
      <w:r>
        <w:rPr>
          <w:b/>
          <w:bCs/>
          <w:color w:val="2B2338"/>
          <w:sz w:val="21"/>
          <w:szCs w:val="21"/>
        </w:rPr>
        <w:t xml:space="preserve">edit text and photos themselves, as soon as possible.</w:t>
      </w:r>
      <w:r>
        <w:rPr>
          <w:color w:val="2B2338"/>
          <w:sz w:val="21"/>
          <w:szCs w:val="21"/>
        </w:rPr>
        <w:t xml:space="preserve"> Deliver the Git-based CMS (Decap or TinaCMS) early: staff log in at a simple admin URL and edit content in a form-based UI; saving commits + auto-rebuilds/redeploys within minutes. No SaaS fee; fits the AWS static architecture; every change versioned in Git for audit and rollback.</w:t>
      </w:r>
    </w:p>
    <w:p>
      <w:pPr>
        <w:pStyle w:val="Heading3"/>
        <w:spacing w:after="80" w:before="180"/>
      </w:pPr>
      <w:r>
        <w:rPr>
          <w:b/>
          <w:bCs/>
          <w:color w:val="2B2338"/>
          <w:sz w:val="22"/>
          <w:szCs w:val="22"/>
        </w:rPr>
        <w:t xml:space="preserve">Editable via the portal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Tour dates, status labels and calendar entries — add/edit/remove a tour (incl. Cinnamon, Oman, Kenya).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Tour itineraries — stops, resorts, dates and notes.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Event details — TTM overview text, key dates, descriptions.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Resort key facts, descriptions and photos; “How It Was” entries.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Home-page intro, teasers and CTAs where content-driven.</w:t>
      </w:r>
    </w:p>
    <w:p>
      <w:pPr>
        <w:pStyle w:val="Heading3"/>
        <w:spacing w:after="80" w:before="180"/>
      </w:pPr>
      <w:r>
        <w:rPr>
          <w:b/>
          <w:bCs/>
          <w:color w:val="2B2338"/>
          <w:sz w:val="22"/>
          <w:szCs w:val="22"/>
        </w:rPr>
        <w:t xml:space="preserve">Access &amp; workflow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Secure login for named COATI editors, least-privilege; bilingual RU/EN fields side by side; media uploads through the CMS, optimised on build; optional draft → publish with preview; all changes versioned in Git.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10. Hosting, Domain &amp; Russian Accessibility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The decisive requirement: Russian users reach the site without a VPN. Two rules dominate — don't accidentally block Russia, and don't sit on infrastructure Russia is throttling.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Avoid Cloudflare entirely — </w:t>
      </w:r>
      <w:r>
        <w:rPr>
          <w:color w:val="2B2338"/>
          <w:sz w:val="21"/>
          <w:szCs w:val="21"/>
        </w:rPr>
        <w:t xml:space="preserve">not as CDN, DNS or captcha (Turnstile).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Host on AWS </w:t>
      </w:r>
      <w:r>
        <w:rPr>
          <w:color w:val="2B2338"/>
          <w:sz w:val="21"/>
          <w:szCs w:val="21"/>
        </w:rPr>
        <w:t xml:space="preserve">(confirmed), subject to the reachability test. Account NOT registered under a Russian entity; non-Russian entity + payment method; no Russia geo-restriction. Region: Frankfurt (eu-central-1) or UAE (me-central-1). Stack: S3 + CloudFront; Route 53; Lambda + API Gateway; the Git CMS; SES; private S3 uploads.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Fallback: </w:t>
      </w:r>
      <w:r>
        <w:rPr>
          <w:color w:val="2B2338"/>
          <w:sz w:val="21"/>
          <w:szCs w:val="21"/>
        </w:rPr>
        <w:t xml:space="preserve">a CIS-adjacent host (UAE, Kazakhstan or Armenia) if the reachability test fails.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2B2338"/>
          <w:sz w:val="21"/>
          <w:szCs w:val="21"/>
        </w:rPr>
        <w:t xml:space="preserve">Validate from a real Russian connection with no VPN </w:t>
      </w:r>
      <w:r>
        <w:rPr>
          <w:color w:val="2B2338"/>
          <w:sz w:val="21"/>
          <w:szCs w:val="21"/>
        </w:rPr>
        <w:t xml:space="preserve">before committing.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10.5 Domain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WePresent.org is purchased and owned. Remaining: point DNS to AWS Route 53 (not Cloudflare); issue SSL; provision professional email on the domain (e.g., Yandex 360) with SPF/DKIM/DMARC; confirm registrar/AWS account ownership.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11. Performance, SEO &amp; Analytics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Responsive next-gen images, lazy-loading, preloaded hero, optimised video. Static HTML, per-locale meta, hreflang, sitemap.xml, robots.txt, OG/Twitter cards. Analytics: Yandex.Metrica + Google Analytics, form submissions as events. Accessibility: WCAG 2.1 AA — note the contrast rules in §4.1.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12. Security, Privacy &amp; Compliance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HTTPS everywhere; security headers (CSP, HSTS); secrets in env vars. Portal: secure login for named editors, least privilege, not publicly writable, versioned in Git. Explicit consent + privacy policy on every form. Uploaded files with restricted access and a retention policy. Cookie/consent notice for analytics. Hosting/sanctions posture is a legal matter — confirm with a qualified advisor (not legal advice).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13. Timeline &amp; Milestones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Deadline: ahead of the first tour (17 August 2026). Priority order: (1) brand-naming + Madifushi corrections and the contrast/Russian fixes (they affect every page); (2) the content portal (client wants it urgently); (3) the new calendar entries (Cinnamon, Kenya) and partners changes. Later editions are added via the portal. Asset readiness (photos, logo SVG, copy) is the gating factor.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100"/>
      </w:tblGrid>
      <w:tr>
        <w:trPr>
          <w:tblHeader/>
        </w:trPr>
        <w:tc>
          <w:tcPr>
            <w:tcW w:type="dxa" w:w="7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1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activities</w:t>
            </w:r>
          </w:p>
        </w:tc>
      </w:tr>
      <w:tr>
        <w:tc>
          <w:tcPr>
            <w:tcW w:type="dxa" w:w="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Corrections &amp; assets</w:t>
            </w:r>
          </w:p>
        </w:tc>
        <w:tc>
          <w:tcPr>
            <w:tcW w:type="dxa" w:w="61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Brand rename; Madifushi → Meemu; contrast + Russian-font fixes; receive logo SVG + selected photos; DNS/email on WePresent.org; non-Russian AWS account.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Content portal</w:t>
            </w:r>
          </w:p>
        </w:tc>
        <w:tc>
          <w:tcPr>
            <w:tcW w:type="dxa" w:w="6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Git-based CMS with editor logins — delivered early per client priority.</w:t>
            </w:r>
          </w:p>
        </w:tc>
      </w:tr>
      <w:tr>
        <w:tc>
          <w:tcPr>
            <w:tcW w:type="dxa" w:w="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Calendar &amp; partners</w:t>
            </w:r>
          </w:p>
        </w:tc>
        <w:tc>
          <w:tcPr>
            <w:tcW w:type="dxa" w:w="61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Add Cinnamon and Kenya; clickable/bigger partner logos; tours-page alignment.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QA &amp; Russia test</w:t>
            </w:r>
          </w:p>
        </w:tc>
        <w:tc>
          <w:tcPr>
            <w:tcW w:type="dxa" w:w="6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Cross-browser/device; accessibility; RU/EN parity; email deliverability; reachability test from Russia; portal edit/publish test.</w:t>
            </w:r>
          </w:p>
        </w:tc>
      </w:tr>
      <w:tr>
        <w:tc>
          <w:tcPr>
            <w:tcW w:type="dxa" w:w="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Launch</w:t>
            </w:r>
          </w:p>
        </w:tc>
        <w:tc>
          <w:tcPr>
            <w:tcW w:type="dxa" w:w="61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DNS + email auth; analytics; go-live ahead of the first tour.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14. Open Items — Remaining Decisions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Confirm the “TTM Tier 1 / Tier 2” naming for the two August tours (§3.1), and the Tour 2 per-resort nights + whether Madifushi stays in the 28 Aug–3 Sep window (§3.3).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Provide Cinnamon (Oct 2026), Oman (Dec 2026) and Kenya dates + resort line-ups when set — addable via the portal.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Supply the official logo in SVG (pending from the designer) — blocks finalising the header wordmark (§4.3, Appendix D).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Select and supply the replacement main hero photo and the new Madifushi photos (aerial already supplied) (§4.4, §6.6).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Confirm the corrected Russian copy set (Appendix B) and flag any remaining RU sections that render incorrectly.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Confirm the parent-brand link and logo for the footer (COATI Global Sales Agency) and whether coatitravel.ru remains in use.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Designate which COATI staff receive content-portal logins and their scope.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Set up DNS (Route 53) + SSL and professional email (SPF/DKIM/DMARC) on WePresent.org; confirm registrar/AWS account ownership.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Run the reachability test from Russia; fall back to a CIS-adjacent host if needed.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Provide/approve the privacy-policy / data-consent text.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Provide remaining per-resort content (key facts + story) and each resort's official website link (also needed for the clickable partner logos).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2B2338"/>
          <w:sz w:val="21"/>
          <w:szCs w:val="21"/>
        </w:rPr>
        <w:t xml:space="preserve">Provide the project Instagram handle/URL, contact phone and office address.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Appendix A — Brand &amp; Naming Rules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Apply consistently site-wide. Overriding rule: </w:t>
      </w:r>
      <w:r>
        <w:rPr>
          <w:b/>
          <w:bCs/>
          <w:color w:val="2B2338"/>
          <w:sz w:val="21"/>
          <w:szCs w:val="21"/>
        </w:rPr>
        <w:t xml:space="preserve">“Coati Travel” must not appear anywhere.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60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Correct usage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Company / legal name</w:t>
            </w:r>
          </w:p>
        </w:tc>
        <w:tc>
          <w:tcPr>
            <w:tcW w:type="dxa" w:w="6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 Global Sales Agency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WePresent by COATI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Logo lock-up (wordmark)</w:t>
            </w:r>
          </w:p>
        </w:tc>
        <w:tc>
          <w:tcPr>
            <w:tcW w:type="dxa" w:w="6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WE PRESENT — “by Coati” beneath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Body / prose text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 Global Sales Agency (first mention), “Coati” thereafter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Small UI — buttons, captions, footer credit</w:t>
            </w:r>
          </w:p>
        </w:tc>
        <w:tc>
          <w:tcPr>
            <w:tcW w:type="dxa" w:w="6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Footer parent block (RU)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Эксклюзивная инициатива / Проект Coati</w:t>
            </w:r>
          </w:p>
        </w:tc>
      </w:tr>
      <w:tr>
        <w:tc>
          <w:tcPr>
            <w:tcW w:type="dxa" w:w="32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Footer parent block (EN)</w:t>
            </w:r>
          </w:p>
        </w:tc>
        <w:tc>
          <w:tcPr>
            <w:tcW w:type="dxa" w:w="6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An exclusive initiative / A project by Coati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Never use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 Travel — anywhere, in any language</w:t>
            </w:r>
          </w:p>
        </w:tc>
      </w:tr>
    </w:tbl>
    <w:p>
      <w:pPr>
        <w:pBdr>
          <w:left w:val="single" w:color="6E4FA3" w:sz="18" w:space="8"/>
        </w:pBdr>
        <w:shd w:fill="F3ECFB" w:val="clear"/>
        <w:spacing w:after="140" w:before="100"/>
      </w:pPr>
      <w:r>
        <w:rPr>
          <w:b/>
          <w:bCs/>
          <w:color w:val="6E4FA3"/>
          <w:sz w:val="20"/>
          <w:szCs w:val="20"/>
        </w:rPr>
        <w:t xml:space="preserve">Logo motifs. </w:t>
      </w:r>
      <w:r>
        <w:rPr>
          <w:color w:val="2B2338"/>
          <w:sz w:val="20"/>
          <w:szCs w:val="20"/>
        </w:rPr>
        <w:t xml:space="preserve">Beyond naming, the client wants the four-point star (sparkle) and the WP monogram used more often and prominently — dividers, kickers, bullets, scroll cue, watermark behind quotes, favicon, form success states — to reinforce the brand.</w:t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Appendix B — Exact Replacement Copy (RU + EN)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From Daria's revisions and the invitation. RU is the client-approved wording; EN is the parallel version — confirm EN where noted.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B.1 Navigation &amp; section labels (RU)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3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Old (RU)</w:t>
            </w:r>
          </w:p>
        </w:tc>
        <w:tc>
          <w:tcPr>
            <w:tcW w:type="dxa" w:w="33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(RU)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About nav / section</w:t>
            </w:r>
          </w:p>
        </w:tc>
        <w:tc>
          <w:tcPr>
            <w:tcW w:type="dxa" w:w="3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О ПРОГРАММЕ</w:t>
            </w:r>
          </w:p>
        </w:tc>
        <w:tc>
          <w:tcPr>
            <w:tcW w:type="dxa" w:w="3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О ПРОЕКТЕ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Tours nav / section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ТУРЫ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ПРОГРАММЫ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Home hero pill</w:t>
            </w:r>
          </w:p>
        </w:tc>
        <w:tc>
          <w:tcPr>
            <w:tcW w:type="dxa" w:w="3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БЛИЖАЙШИЙ ТУР · …</w:t>
            </w:r>
          </w:p>
        </w:tc>
        <w:tc>
          <w:tcPr>
            <w:tcW w:type="dxa" w:w="3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Ближайшая программа · …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Tours page title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Сезон 2026 года — коротко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Сезон 2026 года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Coming-soon block body</w:t>
            </w:r>
          </w:p>
        </w:tc>
        <w:tc>
          <w:tcPr>
            <w:tcW w:type="dxa" w:w="3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Новые направления … в разработке.</w:t>
            </w:r>
          </w:p>
        </w:tc>
        <w:tc>
          <w:tcPr>
            <w:tcW w:type="dxa" w:w="33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Готовим новые направления</w:t>
            </w:r>
          </w:p>
        </w:tc>
      </w:tr>
    </w:tbl>
    <w:p>
      <w:pPr>
        <w:pBdr>
          <w:left w:val="single" w:color="6E4FA3" w:sz="18" w:space="8"/>
        </w:pBdr>
        <w:shd w:fill="F3ECFB" w:val="clear"/>
        <w:spacing w:after="140" w:before="100"/>
      </w:pPr>
      <w:r>
        <w:rPr>
          <w:b/>
          <w:bCs/>
          <w:color w:val="6E4FA3"/>
          <w:sz w:val="20"/>
          <w:szCs w:val="20"/>
        </w:rPr>
        <w:t xml:space="preserve">EN alignment — confirm. </w:t>
      </w:r>
      <w:r>
        <w:rPr>
          <w:color w:val="2B2338"/>
          <w:sz w:val="20"/>
          <w:szCs w:val="20"/>
        </w:rPr>
        <w:t xml:space="preserve">The RU shift from “Туры” to “Программы” implies the English nav may move from “Tours” to “Programmes.” The client specified only Russian; confirm whether to rename the English label too.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B.2 Home hero (RU)</w:t>
      </w:r>
    </w:p>
    <w:p>
      <w:pPr>
        <w:spacing w:after="120" w:line="276"/>
      </w:pPr>
      <w:r>
        <w:rPr>
          <w:b/>
          <w:bCs/>
          <w:color w:val="2B2338"/>
          <w:sz w:val="21"/>
          <w:szCs w:val="21"/>
        </w:rPr>
        <w:t xml:space="preserve">Headline: </w:t>
      </w:r>
      <w:r>
        <w:rPr>
          <w:color w:val="2B2338"/>
          <w:sz w:val="21"/>
          <w:szCs w:val="21"/>
        </w:rPr>
        <w:t xml:space="preserve">Лучшие курорты Мальдив. Личный опыт, который помогает продавать.</w:t>
      </w:r>
    </w:p>
    <w:p>
      <w:pPr>
        <w:spacing w:after="120" w:line="276"/>
      </w:pPr>
      <w:r>
        <w:rPr>
          <w:b/>
          <w:bCs/>
          <w:color w:val="2B2338"/>
          <w:sz w:val="21"/>
          <w:szCs w:val="21"/>
        </w:rPr>
        <w:t xml:space="preserve">Lead: </w:t>
      </w:r>
      <w:r>
        <w:rPr>
          <w:color w:val="2B2338"/>
          <w:sz w:val="21"/>
          <w:szCs w:val="21"/>
        </w:rPr>
        <w:t xml:space="preserve">Эксклюзивные ознакомительные программы для партнёров турагентств при поддержке Coati Global Sales Agency — знакомство с курортами нашей коллекции.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B.3 Home concept quote &amp; body (RU)</w:t>
      </w:r>
    </w:p>
    <w:p>
      <w:pPr>
        <w:spacing w:after="120" w:line="276"/>
      </w:pPr>
      <w:r>
        <w:rPr>
          <w:b/>
          <w:bCs/>
          <w:color w:val="2B2338"/>
          <w:sz w:val="21"/>
          <w:szCs w:val="21"/>
        </w:rPr>
        <w:t xml:space="preserve">Quote: </w:t>
      </w:r>
      <w:r>
        <w:rPr>
          <w:color w:val="2B2338"/>
          <w:sz w:val="21"/>
          <w:szCs w:val="21"/>
        </w:rPr>
        <w:t xml:space="preserve">«We Present — приглашение от Coati Global Sales Agency для партнёров, которые ежедневно продают Мальдивы — шанс увидеть всё своими глазами».</w:t>
      </w:r>
    </w:p>
    <w:p>
      <w:pPr>
        <w:spacing w:after="120" w:line="276"/>
      </w:pPr>
      <w:r>
        <w:rPr>
          <w:b/>
          <w:bCs/>
          <w:color w:val="2B2338"/>
          <w:sz w:val="21"/>
          <w:szCs w:val="21"/>
        </w:rPr>
        <w:t xml:space="preserve">Body: </w:t>
      </w:r>
      <w:r>
        <w:rPr>
          <w:color w:val="2B2338"/>
          <w:sz w:val="21"/>
          <w:szCs w:val="21"/>
        </w:rPr>
        <w:t xml:space="preserve">Участники программы приглашаются на основе результатов работы агентства. Каждый выезд объединяет группу профессионалов для знакомства с курортами нашей коллекции и участия в ключевых мероприятиях отрасли. We Present — это не разовая поездка, а постоянная программа профессионального развития и партнёрства.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B.4 Partners lower-section concept (RU)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Эксклюзивная серия бизнес-мероприятий для ведущих профессионалов туристической индустрии, предоставляющая уникальную возможность познакомиться с лучшими курортами нашей коллекции.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B.5 Footer parent block (RU)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Эксклюзивная инициатива — Проект Coati</w:t>
      </w:r>
    </w:p>
    <w:p>
      <w:pPr>
        <w:pStyle w:val="Heading2"/>
        <w:spacing w:after="100" w:before="240"/>
      </w:pPr>
      <w:r>
        <w:rPr>
          <w:b/>
          <w:bCs/>
          <w:color w:val="6E4FA3"/>
          <w:sz w:val="25"/>
          <w:szCs w:val="25"/>
        </w:rPr>
        <w:t xml:space="preserve">B.6 Home project intro (from the invitation)</w:t>
      </w:r>
    </w:p>
    <w:p>
      <w:pPr>
        <w:spacing w:after="120" w:line="276"/>
      </w:pPr>
      <w:r>
        <w:rPr>
          <w:b/>
          <w:bCs/>
          <w:color w:val="2B2338"/>
          <w:sz w:val="21"/>
          <w:szCs w:val="21"/>
        </w:rPr>
        <w:t xml:space="preserve">EN: </w:t>
      </w:r>
      <w:r>
        <w:rPr>
          <w:color w:val="2B2338"/>
          <w:sz w:val="21"/>
          <w:szCs w:val="21"/>
        </w:rPr>
        <w:t xml:space="preserve">WePresent by COATI is a prestigious initiative from COATI Global Sales Agency, uniting the most influential leaders in the tourism industry, elite media, digital-platform innovators, journalists, tour operators and their exclusive agency partners. The project offers carefully curated, limited-access outbound business events — a unique space for strategic networking, sharing expertise, forming partnerships and delivering measurable business results.</w:t>
      </w:r>
    </w:p>
    <w:p>
      <w:pPr>
        <w:spacing w:after="120" w:line="276"/>
      </w:pPr>
      <w:r>
        <w:rPr>
          <w:b/>
          <w:bCs/>
          <w:color w:val="2B2338"/>
          <w:sz w:val="21"/>
          <w:szCs w:val="21"/>
        </w:rPr>
        <w:t xml:space="preserve">RU (confirm with client): </w:t>
      </w:r>
      <w:r>
        <w:rPr>
          <w:color w:val="2B2338"/>
          <w:sz w:val="21"/>
          <w:szCs w:val="21"/>
        </w:rPr>
        <w:t xml:space="preserve">WePresent by COATI — престижная инициатива COATI Global Sales Agency, объединяющая наиболее влиятельных лидеров туристической индустрии, ведущих представителей медиа, журналистов, туроператоров и их эксклюзивных партнёров-агентов. Проект предлагает тщательно подобранные закрытые выездные бизнес-мероприятия — уникальное пространство для стратегического нетворкинга, обмена экспертизой, формирования партнёрств и достижения измеримых бизнес-результатов.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Appendix C — Change Checklist for Claude Code (file-level)</w:t>
      </w:r>
    </w:p>
    <w:p>
      <w:pPr>
        <w:spacing w:after="120" w:line="276"/>
      </w:pPr>
      <w:r>
        <w:rPr>
          <w:color w:val="2B2338"/>
          <w:sz w:val="21"/>
          <w:szCs w:val="21"/>
        </w:rPr>
        <w:t xml:space="preserve">Where each change lands in the </w:t>
      </w:r>
      <w:r>
        <w:rPr>
          <w:b/>
          <w:bCs/>
          <w:color w:val="2B2338"/>
          <w:sz w:val="21"/>
          <w:szCs w:val="21"/>
        </w:rPr>
        <w:t xml:space="preserve">web/</w:t>
      </w:r>
      <w:r>
        <w:rPr>
          <w:color w:val="2B2338"/>
          <w:sz w:val="21"/>
          <w:szCs w:val="21"/>
        </w:rPr>
        <w:t xml:space="preserve"> codebase. Verify paths as the code evolves.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rPr>
          <w:tblHeader/>
        </w:trPr>
        <w:tc>
          <w:tcPr>
            <w:tcW w:type="dxa" w:w="2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6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(files)</w:t>
            </w:r>
          </w:p>
        </w:tc>
        <w:tc>
          <w:tcPr>
            <w:tcW w:type="dxa" w:w="30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Remove “Coati Travel” → COATI Global Sales Agency / Coati</w:t>
            </w:r>
          </w:p>
        </w:tc>
        <w:tc>
          <w:tcPr>
            <w:tcW w:type="dxa" w:w="3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i18n/dictionaries/en.ts + ru.ts; components/Footer.tsx, Header.tsx</w:t>
            </w:r>
          </w:p>
        </w:tc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Global find/replace, then apply Appendix A usage by context.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Madifushi atoll → Meemu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lib/resorts.ts (atoll EN+RU, keyFacts.location EN+RU, story)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“Thaa Atoll”→“Meemu Atoll”; “Атолл Тхаа”→“Атолл Меему”; fix transfer wording.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Remove “inaugural” from Tour 2</w:t>
            </w:r>
          </w:p>
        </w:tc>
        <w:tc>
          <w:tcPr>
            <w:tcW w:type="dxa" w:w="3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lib/tours.ts (maldives-ttm-tour-2 summary EN+RU)</w:t>
            </w:r>
          </w:p>
        </w:tc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Neutral wording (§3.3).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Add Cinnamon (Oct 2026) + Kenya (TBC)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lib/tours.ts (two new entries, status: pending)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Coming-soon cards; RU “Кения — даты уточняются”.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RU labels + drop “коротко” + coming-soon copy</w:t>
            </w:r>
          </w:p>
        </w:tc>
        <w:tc>
          <w:tcPr>
            <w:tcW w:type="dxa" w:w="3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i18n/dictionaries/ru.ts (nav, home.hero, toursPage, comingSoon)</w:t>
            </w:r>
          </w:p>
        </w:tc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Appendix B.1; decide EN nav parity.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New hero + concept + partners copy (RU)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i18n/dictionaries/ru.ts; lib data where in-data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Appendix B.2–B.5.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New home project intro block</w:t>
            </w:r>
          </w:p>
        </w:tc>
        <w:tc>
          <w:tcPr>
            <w:tcW w:type="dxa" w:w="3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app/[locale]/page.tsx + a home component; dictionaries</w:t>
            </w:r>
          </w:p>
        </w:tc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Appendix B.6; high on the page; destination-neutral.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Contrast fixes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app/globals.css tokens; components using bg-ivory vs lavender, text /60 /40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§4.1 — deepen panels/dividers, raise text opacity to AA.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Russian font / Cyrillic coverage</w:t>
            </w:r>
          </w:p>
        </w:tc>
        <w:tc>
          <w:tcPr>
            <w:tcW w:type="dxa" w:w="3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app/layout.tsx (next/font weights); globals.css; locale-gated display face</w:t>
            </w:r>
          </w:p>
        </w:tc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§4.2 / §7.1 — no system fallback; re-check uppercase tracking.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Logo font + star/monogram motifs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components/Header.tsx; public/images/logos/*; shared motif component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Use official SVG when supplied; repeat sparkle + monogram (§4.3).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Mobile logo/byline alignment</w:t>
            </w:r>
          </w:p>
        </w:tc>
        <w:tc>
          <w:tcPr>
            <w:tcW w:type="dxa" w:w="3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components/Header.tsx (RU byline at &lt;xl)</w:t>
            </w:r>
          </w:p>
        </w:tc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§6.1 — match EN layout.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Partners: bigger, aligned, clickable logos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components/home/PartnersStrip.tsx; app/[locale]/partners/page.tsx; add website URLs to lib/resorts.ts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Link each logo to the hotel site (new tab); consistent baseline.</w:t>
            </w:r>
          </w:p>
        </w:tc>
      </w:tr>
      <w:tr>
        <w:tc>
          <w:tcPr>
            <w:tcW w:type="dxa" w:w="2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Replace hero + Madifushi photos</w:t>
            </w:r>
          </w:p>
        </w:tc>
        <w:tc>
          <w:tcPr>
            <w:tcW w:type="dxa" w:w="36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public/images/home/*; public/images/resorts/madifushi/*</w:t>
            </w:r>
          </w:p>
        </w:tc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Save the client's aerial Madifushi image; await selected hero photo.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Content portal (priority)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Decap/Tina config + admin route; content collections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§9.2 — deliver early.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3E2C55"/>
          <w:sz w:val="30"/>
          <w:szCs w:val="30"/>
        </w:rPr>
        <w:t xml:space="preserve">Appendix D — Assets: received vs. pending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700"/>
      </w:tblGrid>
      <w:tr>
        <w:trPr>
          <w:tblHeader/>
        </w:trPr>
        <w:tc>
          <w:tcPr>
            <w:tcW w:type="dxa" w:w="30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5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700"/>
            <w:shd w:fill="3E2C5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Madifushi replacement photo (aerial)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Received</w:t>
            </w:r>
          </w:p>
        </w:tc>
        <w:tc>
          <w:tcPr>
            <w:tcW w:type="dxa" w:w="4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Client aerial to replace the staircase hero/card image — save into the Madifushi image set.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Event table-flags artwork (SVG)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Received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“Флажки настольные.svg” (A3, CorelDRAW) — collateral, not the logo.</w:t>
            </w:r>
          </w:p>
        </w:tc>
      </w:tr>
      <w:tr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Invitation copy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Received</w:t>
            </w:r>
          </w:p>
        </w:tc>
        <w:tc>
          <w:tcPr>
            <w:tcW w:type="dxa" w:w="4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Source of the home project intro (Appendix B.6).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Daria's text revisions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Received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Page-by-page RU corrections (Appendix B).</w:t>
            </w:r>
          </w:p>
        </w:tc>
      </w:tr>
      <w:tr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Official logo (SVG)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Pending</w:t>
            </w:r>
          </w:p>
        </w:tc>
        <w:tc>
          <w:tcPr>
            <w:tcW w:type="dxa" w:w="4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Requested from the designer; blocks finalising the header wordmark and the star/monogram motif work.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Selected resort/hero photos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Pending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Client to pick the best resort images for the hero and galleries.</w:t>
            </w:r>
          </w:p>
        </w:tc>
      </w:tr>
      <w:tr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Hotel website URLs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Pending</w:t>
            </w:r>
          </w:p>
        </w:tc>
        <w:tc>
          <w:tcPr>
            <w:tcW w:type="dxa" w:w="4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Needed to make the partner logos clickable.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Parent-brand logo + link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Pending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COATI Global Sales Agency footer credit.</w:t>
            </w:r>
          </w:p>
        </w:tc>
      </w:tr>
      <w:tr>
        <w:tc>
          <w:tcPr>
            <w:tcW w:type="dxa" w:w="30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Footer/contact details</w:t>
            </w:r>
          </w:p>
        </w:tc>
        <w:tc>
          <w:tcPr>
            <w:tcW w:type="dxa" w:w="15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Pending</w:t>
            </w:r>
          </w:p>
        </w:tc>
        <w:tc>
          <w:tcPr>
            <w:tcW w:type="dxa" w:w="4700"/>
            <w:shd w:fill="F7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2B2338"/>
                <w:sz w:val="19"/>
                <w:szCs w:val="19"/>
              </w:rPr>
              <w:t xml:space="preserve">Instagram handle, phone, office address.</w:t>
            </w:r>
          </w:p>
        </w:tc>
      </w:tr>
    </w:tbl>
    <w:p>
      <w:pPr>
        <w:spacing w:before="240"/>
      </w:pPr>
      <w:r>
        <w:rPr>
          <w:i/>
          <w:iCs/>
          <w:color w:val="6E4FA3"/>
          <w:sz w:val="20"/>
          <w:szCs w:val="20"/>
        </w:rPr>
        <w:t xml:space="preserve">End of Specification v1.8.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3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WePresent by COATI — Website Technical Specification v1.8</dc:title>
  <dc:creator>WePresent by COATI</dc:creator>
  <cp:lastModifiedBy>Un-named</cp:lastModifiedBy>
  <cp:revision>1</cp:revision>
  <dcterms:created xsi:type="dcterms:W3CDTF">2026-07-21T17:32:55.041Z</dcterms:created>
  <dcterms:modified xsi:type="dcterms:W3CDTF">2026-07-21T17:32:55.041Z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