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60"/>
        <w:jc w:val="center"/>
      </w:pPr>
      <w:r>
        <w:rPr>
          <w:rFonts w:ascii="Arial" w:cs="Arial" w:eastAsia="Arial" w:hAnsi="Arial"/>
          <w:b/>
          <w:bCs/>
          <w:color w:val="00703C"/>
          <w:sz w:val="36"/>
          <w:szCs w:val="36"/>
        </w:rPr>
        <w:t xml:space="preserve">AL DHABI ENERGY CORPORATION</w:t>
      </w:r>
    </w:p>
    <w:p>
      <w:pPr>
        <w:spacing w:before="0" w:after="40"/>
        <w:jc w:val="center"/>
      </w:pPr>
      <w:r>
        <w:rPr>
          <w:rFonts w:ascii="Arial" w:cs="Arial" w:eastAsia="Arial" w:hAnsi="Arial"/>
          <w:b/>
          <w:bCs/>
          <w:color w:val="003366"/>
          <w:sz w:val="22"/>
          <w:szCs w:val="22"/>
        </w:rPr>
        <w:t xml:space="preserve">ALDEC Digital Technology Division</w:t>
      </w:r>
    </w:p>
    <w:p>
      <w:pPr>
        <w:spacing w:before="0" w:after="60"/>
        <w:jc w:val="center"/>
      </w:pPr>
      <w:r>
        <w:rPr>
          <w:rFonts w:ascii="Arial" w:cs="Arial" w:eastAsia="Arial" w:hAnsi="Arial"/>
          <w:color w:val="D9D9D9"/>
          <w:sz w:val="18"/>
          <w:szCs w:val="18"/>
        </w:rPr>
        <w:t xml:space="preserv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3C" w:sz="4"/>
              <w:left w:val="single" w:color="00703C" w:sz="4"/>
              <w:bottom w:val="single" w:color="00703C" w:sz="4"/>
              <w:right w:val="single" w:color="00703C" w:sz="4"/>
            </w:tcBorders>
            <w:shd w:fill="00703C" w:val="clear"/>
            <w:tcMar>
              <w:top w:type="dxa" w:w="500"/>
              <w:left w:type="dxa" w:w="500"/>
              <w:bottom w:type="dxa" w:w="500"/>
              <w:right w:type="dxa" w:w="500"/>
            </w:tcMar>
          </w:tcPr>
          <w:p>
            <w:pPr>
              <w:jc w:val="center"/>
            </w:pPr>
            <w:r>
              <w:rPr>
                <w:rFonts w:ascii="Arial" w:cs="Arial" w:eastAsia="Arial" w:hAnsi="Arial"/>
                <w:b/>
                <w:bCs/>
                <w:color w:val="DDDDDD"/>
                <w:sz w:val="22"/>
                <w:szCs w:val="22"/>
              </w:rPr>
              <w:t xml:space="preserve">REQUEST FOR PROPOSAL</w:t>
            </w:r>
          </w:p>
          <w:p>
            <w:pPr>
              <w:spacing w:before="160"/>
              <w:jc w:val="center"/>
            </w:pPr>
            <w:r>
              <w:rPr>
                <w:rFonts w:ascii="Arial" w:cs="Arial" w:eastAsia="Arial" w:hAnsi="Arial"/>
                <w:b/>
                <w:bCs/>
                <w:color w:val="FFFFFF"/>
                <w:sz w:val="40"/>
                <w:szCs w:val="40"/>
              </w:rPr>
              <w:t xml:space="preserve">AI-Based Predictive Maintenance System</w:t>
            </w:r>
          </w:p>
          <w:p>
            <w:pPr>
              <w:spacing w:before="120"/>
              <w:jc w:val="center"/>
            </w:pPr>
            <w:r>
              <w:rPr>
                <w:rFonts w:ascii="Arial" w:cs="Arial" w:eastAsia="Arial" w:hAnsi="Arial"/>
                <w:color w:val="C8A951"/>
                <w:sz w:val="24"/>
                <w:szCs w:val="24"/>
              </w:rPr>
              <w:t xml:space="preserve">for Drilling Equipment — ALDEC Drilling Fleet</w:t>
            </w:r>
          </w:p>
        </w:tc>
      </w:tr>
    </w:tbl>
    <w:p>
      <w:pPr>
        <w:spacing w:before="60" w:after="60"/>
      </w:pPr>
      <w:r>
        <w:t xml:space="preserve"/>
      </w:r>
    </w:p>
    <w:p>
      <w:pPr>
        <w:spacing w:before="200" w:after="60"/>
        <w:jc w:val="center"/>
      </w:pPr>
      <w:r>
        <w:rPr>
          <w:rFonts w:ascii="Arial" w:cs="Arial" w:eastAsia="Arial" w:hAnsi="Arial"/>
          <w:b/>
          <w:bCs/>
          <w:color w:val="003366"/>
          <w:sz w:val="22"/>
          <w:szCs w:val="22"/>
        </w:rPr>
        <w:t xml:space="preserve">RFP Reference: ALDEC-DTD-2025-RFP-0147</w:t>
      </w:r>
    </w:p>
    <w:p>
      <w:pPr>
        <w:spacing w:before="40" w:after="40"/>
        <w:jc w:val="center"/>
      </w:pPr>
      <w:r>
        <w:rPr>
          <w:rFonts w:ascii="Arial" w:cs="Arial" w:eastAsia="Arial" w:hAnsi="Arial"/>
          <w:color w:val="1A1A2E"/>
          <w:sz w:val="20"/>
          <w:szCs w:val="20"/>
        </w:rPr>
        <w:t xml:space="preserve">Issue Date: 15 January 2025</w:t>
      </w:r>
    </w:p>
    <w:p>
      <w:pPr>
        <w:spacing w:before="40" w:after="40"/>
        <w:jc w:val="center"/>
      </w:pPr>
      <w:r>
        <w:rPr>
          <w:rFonts w:ascii="Arial" w:cs="Arial" w:eastAsia="Arial" w:hAnsi="Arial"/>
          <w:b/>
          <w:bCs/>
          <w:color w:val="CC0000"/>
          <w:sz w:val="20"/>
          <w:szCs w:val="20"/>
        </w:rPr>
        <w:t xml:space="preserve">Submission Deadline: 28 February 2025  |  17:00 Gulf Standard Time</w:t>
      </w:r>
    </w:p>
    <w:p>
      <w:pPr>
        <w:spacing w:before="40" w:after="40"/>
        <w:jc w:val="center"/>
      </w:pPr>
      <w:r>
        <w:rPr>
          <w:rFonts w:ascii="Arial" w:cs="Arial" w:eastAsia="Arial" w:hAnsi="Arial"/>
          <w:b/>
          <w:bCs/>
          <w:i/>
          <w:iCs/>
          <w:color w:val="CC0000"/>
          <w:sz w:val="18"/>
          <w:szCs w:val="18"/>
        </w:rPr>
        <w:t xml:space="preserve">CONFIDENTIAL</w:t>
      </w:r>
    </w:p>
    <w:p>
      <w:r>
        <w:br w:type="page"/>
      </w:r>
    </w:p>
    <w:p>
      <w:pPr>
        <w:pStyle w:val="Heading1"/>
        <w:pBdr>
          <w:bottom w:val="single" w:color="00703C" w:sz="3" w:space="4"/>
        </w:pBdr>
        <w:spacing w:before="400" w:after="200"/>
      </w:pPr>
      <w:r>
        <w:rPr>
          <w:rFonts w:ascii="Arial" w:cs="Arial" w:eastAsia="Arial" w:hAnsi="Arial"/>
          <w:b/>
          <w:bCs/>
          <w:color w:val="003366"/>
          <w:sz w:val="28"/>
          <w:szCs w:val="28"/>
        </w:rPr>
        <w:t xml:space="preserve">1. PROJECT OVERVIEW</w:t>
      </w:r>
    </w:p>
    <w:p>
      <w:pPr>
        <w:spacing w:before="60" w:after="80"/>
      </w:pPr>
      <w:r>
        <w:rPr>
          <w:rFonts w:ascii="Arial" w:cs="Arial" w:eastAsia="Arial" w:hAnsi="Arial"/>
          <w:sz w:val="20"/>
          <w:szCs w:val="20"/>
        </w:rPr>
        <w:t xml:space="preserve">Al Dhabi Energy Corporation (ALDEC) operates one of the largest and most technologically advanced drilling fleets in the Middle East, encompassing onshore and offshore assets across the Emirate of Abu Dhabi. ALDEC's drilling operations generate terabytes of real-time sensor data daily from rotary drilling systems, top drives, mud pumps, blowout preventers (BOPs), and associated surface and downhole equipment.</w:t>
      </w:r>
    </w:p>
    <w:p>
      <w:pPr>
        <w:spacing w:before="60" w:after="80"/>
      </w:pPr>
      <w:r>
        <w:rPr>
          <w:rFonts w:ascii="Arial" w:cs="Arial" w:eastAsia="Arial" w:hAnsi="Arial"/>
          <w:sz w:val="20"/>
          <w:szCs w:val="20"/>
        </w:rPr>
        <w:t xml:space="preserve">ALDEC Digital Technology Division (DTD) invites qualified vendors to submit detailed proposals for the design, development, deployment, and ongoing support of an enterprise-grade AI-Based Predictive Maintenance (PdM) System. The system shall leverage machine learning, real-time IoT telemetry ingestion, and advanced analytics to predict equipment failures before they occur, thereby minimizing non-productive time (NPT), reducing maintenance costs, and improving personnel safety across all drilling operations.</w:t>
      </w:r>
    </w:p>
    <w:p>
      <w:pPr>
        <w:spacing w:before="60" w:after="80"/>
      </w:pPr>
      <w:r>
        <w:rPr>
          <w:rFonts w:ascii="Arial" w:cs="Arial" w:eastAsia="Arial" w:hAnsi="Arial"/>
          <w:sz w:val="20"/>
          <w:szCs w:val="20"/>
        </w:rPr>
        <w:t xml:space="preserve">This RFP is part of ALDEC's ALDEC2030 Digital Transformation Strategy, which targets a 25% reduction in unplanned downtime across all drilling assets by 2027.</w:t>
      </w:r>
    </w:p>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2. SCOPE OF WORK</w:t>
      </w:r>
    </w:p>
    <w:p>
      <w:pPr>
        <w:pStyle w:val="ListParagraph"/>
        <w:numPr>
          <w:ilvl w:val="0"/>
          <w:numId w:val="2"/>
        </w:numPr>
        <w:spacing w:before="40" w:after="40"/>
      </w:pPr>
      <w:r>
        <w:rPr>
          <w:rFonts w:ascii="Arial" w:cs="Arial" w:eastAsia="Arial" w:hAnsi="Arial"/>
          <w:sz w:val="20"/>
          <w:szCs w:val="20"/>
        </w:rPr>
        <w:t xml:space="preserve">Design and deployment of an end-to-end AI/ML predictive maintenance platform capable of ingesting, processing, and analyzing sensor data from a minimum of 500 drilling equipment units across 35 active rigs.</w:t>
      </w:r>
    </w:p>
    <w:p>
      <w:pPr>
        <w:pStyle w:val="ListParagraph"/>
        <w:numPr>
          <w:ilvl w:val="0"/>
          <w:numId w:val="2"/>
        </w:numPr>
        <w:spacing w:before="40" w:after="40"/>
      </w:pPr>
      <w:r>
        <w:rPr>
          <w:rFonts w:ascii="Arial" w:cs="Arial" w:eastAsia="Arial" w:hAnsi="Arial"/>
          <w:sz w:val="20"/>
          <w:szCs w:val="20"/>
        </w:rPr>
        <w:t xml:space="preserve">Real-time data ingestion pipeline connecting to existing SCADA, OSIsoft PI historian, and DCS systems currently in operation across ALDEC drilling assets.</w:t>
      </w:r>
    </w:p>
    <w:p>
      <w:pPr>
        <w:pStyle w:val="ListParagraph"/>
        <w:numPr>
          <w:ilvl w:val="0"/>
          <w:numId w:val="2"/>
        </w:numPr>
        <w:spacing w:before="40" w:after="40"/>
      </w:pPr>
      <w:r>
        <w:rPr>
          <w:rFonts w:ascii="Arial" w:cs="Arial" w:eastAsia="Arial" w:hAnsi="Arial"/>
          <w:sz w:val="20"/>
          <w:szCs w:val="20"/>
        </w:rPr>
        <w:t xml:space="preserve">Development and deployment of predictive failure models for critical equipment including: top drives, mud pumps, rotary tables, draw works, crown blocks, traveling blocks, and BOP control systems.</w:t>
      </w:r>
    </w:p>
    <w:p>
      <w:pPr>
        <w:pStyle w:val="ListParagraph"/>
        <w:numPr>
          <w:ilvl w:val="0"/>
          <w:numId w:val="2"/>
        </w:numPr>
        <w:spacing w:before="40" w:after="40"/>
      </w:pPr>
      <w:r>
        <w:rPr>
          <w:rFonts w:ascii="Arial" w:cs="Arial" w:eastAsia="Arial" w:hAnsi="Arial"/>
          <w:sz w:val="20"/>
          <w:szCs w:val="20"/>
        </w:rPr>
        <w:t xml:space="preserve">Provision of a centralized monitoring dashboard accessible by drilling engineers, maintenance supervisors, and asset integrity teams.</w:t>
      </w:r>
    </w:p>
    <w:p>
      <w:pPr>
        <w:pStyle w:val="ListParagraph"/>
        <w:numPr>
          <w:ilvl w:val="0"/>
          <w:numId w:val="2"/>
        </w:numPr>
        <w:spacing w:before="40" w:after="40"/>
      </w:pPr>
      <w:r>
        <w:rPr>
          <w:rFonts w:ascii="Arial" w:cs="Arial" w:eastAsia="Arial" w:hAnsi="Arial"/>
          <w:sz w:val="20"/>
          <w:szCs w:val="20"/>
        </w:rPr>
        <w:t xml:space="preserve">Integration with ALDEC's existing SAP PM (Plant Maintenance) module for automated work order creation upon anomaly detection.</w:t>
      </w:r>
    </w:p>
    <w:p>
      <w:pPr>
        <w:pStyle w:val="ListParagraph"/>
        <w:numPr>
          <w:ilvl w:val="0"/>
          <w:numId w:val="2"/>
        </w:numPr>
        <w:spacing w:before="40" w:after="40"/>
      </w:pPr>
      <w:r>
        <w:rPr>
          <w:rFonts w:ascii="Arial" w:cs="Arial" w:eastAsia="Arial" w:hAnsi="Arial"/>
          <w:sz w:val="20"/>
          <w:szCs w:val="20"/>
        </w:rPr>
        <w:t xml:space="preserve">Mobile application for rig-floor supervisors and maintenance crews enabling field-level alert acknowledgment and work order management.</w:t>
      </w:r>
    </w:p>
    <w:p>
      <w:pPr>
        <w:pStyle w:val="ListParagraph"/>
        <w:numPr>
          <w:ilvl w:val="0"/>
          <w:numId w:val="2"/>
        </w:numPr>
        <w:spacing w:before="40" w:after="40"/>
      </w:pPr>
      <w:r>
        <w:rPr>
          <w:rFonts w:ascii="Arial" w:cs="Arial" w:eastAsia="Arial" w:hAnsi="Arial"/>
          <w:sz w:val="20"/>
          <w:szCs w:val="20"/>
        </w:rPr>
        <w:t xml:space="preserve">Training and change management program for ALDEC technical staff, including certification of at least 50 internal operators.</w:t>
      </w:r>
    </w:p>
    <w:p>
      <w:pPr>
        <w:pStyle w:val="ListParagraph"/>
        <w:numPr>
          <w:ilvl w:val="0"/>
          <w:numId w:val="2"/>
        </w:numPr>
        <w:spacing w:before="40" w:after="40"/>
      </w:pPr>
      <w:r>
        <w:rPr>
          <w:rFonts w:ascii="Arial" w:cs="Arial" w:eastAsia="Arial" w:hAnsi="Arial"/>
          <w:sz w:val="20"/>
          <w:szCs w:val="20"/>
        </w:rPr>
        <w:t xml:space="preserve">Post-deployment support and maintenance for a minimum period of 36 months following Go-Live, with SLA-governed response times.</w:t>
      </w:r>
    </w:p>
    <w:p>
      <w:pPr>
        <w:pStyle w:val="ListParagraph"/>
        <w:numPr>
          <w:ilvl w:val="0"/>
          <w:numId w:val="2"/>
        </w:numPr>
        <w:spacing w:before="40" w:after="40"/>
      </w:pPr>
      <w:r>
        <w:rPr>
          <w:rFonts w:ascii="Arial" w:cs="Arial" w:eastAsia="Arial" w:hAnsi="Arial"/>
          <w:sz w:val="20"/>
          <w:szCs w:val="20"/>
        </w:rPr>
        <w:t xml:space="preserve">Knowledge transfer program to ensure ALDEC internal teams can independently manage, retrain, and extend ML models after Year 3.</w:t>
      </w:r>
    </w:p>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3. FUNCTIONAL REQUIREMENTS</w:t>
      </w:r>
    </w:p>
    <w:p>
      <w:pPr>
        <w:pStyle w:val="Heading2"/>
        <w:spacing w:before="300" w:after="120"/>
      </w:pPr>
      <w:r>
        <w:rPr>
          <w:rFonts w:ascii="Arial" w:cs="Arial" w:eastAsia="Arial" w:hAnsi="Arial"/>
          <w:b/>
          <w:bCs/>
          <w:color w:val="00703C"/>
          <w:sz w:val="24"/>
          <w:szCs w:val="24"/>
        </w:rPr>
        <w:t xml:space="preserve">3.1 Predictive Analytics Engine</w:t>
      </w:r>
    </w:p>
    <w:p>
      <w:pPr>
        <w:pStyle w:val="ListParagraph"/>
        <w:numPr>
          <w:ilvl w:val="0"/>
          <w:numId w:val="2"/>
        </w:numPr>
        <w:spacing w:before="40" w:after="40"/>
      </w:pPr>
      <w:r>
        <w:rPr>
          <w:rFonts w:ascii="Arial" w:cs="Arial" w:eastAsia="Arial" w:hAnsi="Arial"/>
          <w:sz w:val="20"/>
          <w:szCs w:val="20"/>
        </w:rPr>
        <w:t xml:space="preserve">The system shall support multivariate time-series anomaly detection with configurable sensitivity thresholds per equipment class.</w:t>
      </w:r>
    </w:p>
    <w:p>
      <w:pPr>
        <w:pStyle w:val="ListParagraph"/>
        <w:numPr>
          <w:ilvl w:val="0"/>
          <w:numId w:val="2"/>
        </w:numPr>
        <w:spacing w:before="40" w:after="40"/>
      </w:pPr>
      <w:r>
        <w:rPr>
          <w:rFonts w:ascii="Arial" w:cs="Arial" w:eastAsia="Arial" w:hAnsi="Arial"/>
          <w:sz w:val="20"/>
          <w:szCs w:val="20"/>
        </w:rPr>
        <w:t xml:space="preserve">ML models shall achieve a minimum precision of 85% and recall of 80% for critical failure prediction within a 72-hour prediction horizon during UAT.</w:t>
      </w:r>
    </w:p>
    <w:p>
      <w:pPr>
        <w:pStyle w:val="ListParagraph"/>
        <w:numPr>
          <w:ilvl w:val="0"/>
          <w:numId w:val="2"/>
        </w:numPr>
        <w:spacing w:before="40" w:after="40"/>
      </w:pPr>
      <w:r>
        <w:rPr>
          <w:rFonts w:ascii="Arial" w:cs="Arial" w:eastAsia="Arial" w:hAnsi="Arial"/>
          <w:sz w:val="20"/>
          <w:szCs w:val="20"/>
        </w:rPr>
        <w:t xml:space="preserve">The platform shall support supervised, unsupervised, and semi-supervised learning paradigms to accommodate scenarios with limited labeled failure data.</w:t>
      </w:r>
    </w:p>
    <w:p>
      <w:pPr>
        <w:pStyle w:val="ListParagraph"/>
        <w:numPr>
          <w:ilvl w:val="0"/>
          <w:numId w:val="2"/>
        </w:numPr>
        <w:spacing w:before="40" w:after="40"/>
      </w:pPr>
      <w:r>
        <w:rPr>
          <w:rFonts w:ascii="Arial" w:cs="Arial" w:eastAsia="Arial" w:hAnsi="Arial"/>
          <w:sz w:val="20"/>
          <w:szCs w:val="20"/>
        </w:rPr>
        <w:t xml:space="preserve">Models shall include explainability modules (e.g., SHAP values or equivalent) to communicate predicted failure causes to non-technical maintenance personnel.</w:t>
      </w:r>
    </w:p>
    <w:p>
      <w:pPr>
        <w:pStyle w:val="ListParagraph"/>
        <w:numPr>
          <w:ilvl w:val="0"/>
          <w:numId w:val="2"/>
        </w:numPr>
        <w:spacing w:before="40" w:after="40"/>
      </w:pPr>
      <w:r>
        <w:rPr>
          <w:rFonts w:ascii="Arial" w:cs="Arial" w:eastAsia="Arial" w:hAnsi="Arial"/>
          <w:sz w:val="20"/>
          <w:szCs w:val="20"/>
        </w:rPr>
        <w:t xml:space="preserve">The system shall support automated model retraining triggered by data drift detection or scheduled retraining cycles (minimum monthly).</w:t>
      </w:r>
    </w:p>
    <w:p>
      <w:pPr>
        <w:pStyle w:val="Heading2"/>
        <w:spacing w:before="300" w:after="120"/>
      </w:pPr>
      <w:r>
        <w:rPr>
          <w:rFonts w:ascii="Arial" w:cs="Arial" w:eastAsia="Arial" w:hAnsi="Arial"/>
          <w:b/>
          <w:bCs/>
          <w:color w:val="00703C"/>
          <w:sz w:val="24"/>
          <w:szCs w:val="24"/>
        </w:rPr>
        <w:t xml:space="preserve">3.2 Real-Time Monitoring &amp; Alerting</w:t>
      </w:r>
    </w:p>
    <w:p>
      <w:pPr>
        <w:pStyle w:val="ListParagraph"/>
        <w:numPr>
          <w:ilvl w:val="0"/>
          <w:numId w:val="2"/>
        </w:numPr>
        <w:spacing w:before="40" w:after="40"/>
      </w:pPr>
      <w:r>
        <w:rPr>
          <w:rFonts w:ascii="Arial" w:cs="Arial" w:eastAsia="Arial" w:hAnsi="Arial"/>
          <w:sz w:val="20"/>
          <w:szCs w:val="20"/>
        </w:rPr>
        <w:t xml:space="preserve">Ingest sensor data with latency not exceeding 5 seconds from sensor reading to alert generation under normal network conditions.</w:t>
      </w:r>
    </w:p>
    <w:p>
      <w:pPr>
        <w:pStyle w:val="ListParagraph"/>
        <w:numPr>
          <w:ilvl w:val="0"/>
          <w:numId w:val="2"/>
        </w:numPr>
        <w:spacing w:before="40" w:after="40"/>
      </w:pPr>
      <w:r>
        <w:rPr>
          <w:rFonts w:ascii="Arial" w:cs="Arial" w:eastAsia="Arial" w:hAnsi="Arial"/>
          <w:sz w:val="20"/>
          <w:szCs w:val="20"/>
        </w:rPr>
        <w:t xml:space="preserve">Support alert severity classification: Critical, High, Medium, Low — with configurable escalation rules per severity level.</w:t>
      </w:r>
    </w:p>
    <w:p>
      <w:pPr>
        <w:pStyle w:val="ListParagraph"/>
        <w:numPr>
          <w:ilvl w:val="0"/>
          <w:numId w:val="2"/>
        </w:numPr>
        <w:spacing w:before="40" w:after="40"/>
      </w:pPr>
      <w:r>
        <w:rPr>
          <w:rFonts w:ascii="Arial" w:cs="Arial" w:eastAsia="Arial" w:hAnsi="Arial"/>
          <w:sz w:val="20"/>
          <w:szCs w:val="20"/>
        </w:rPr>
        <w:t xml:space="preserve">Provide email, SMS, and in-app push notification channels for alert distribution.</w:t>
      </w:r>
    </w:p>
    <w:p>
      <w:pPr>
        <w:pStyle w:val="ListParagraph"/>
        <w:numPr>
          <w:ilvl w:val="0"/>
          <w:numId w:val="2"/>
        </w:numPr>
        <w:spacing w:before="40" w:after="40"/>
      </w:pPr>
      <w:r>
        <w:rPr>
          <w:rFonts w:ascii="Arial" w:cs="Arial" w:eastAsia="Arial" w:hAnsi="Arial"/>
          <w:sz w:val="20"/>
          <w:szCs w:val="20"/>
        </w:rPr>
        <w:t xml:space="preserve">Maintain an auditable alert history with acknowledgment tracking and root cause documentation fields.</w:t>
      </w:r>
    </w:p>
    <w:p>
      <w:pPr>
        <w:pStyle w:val="Heading2"/>
        <w:spacing w:before="300" w:after="120"/>
      </w:pPr>
      <w:r>
        <w:rPr>
          <w:rFonts w:ascii="Arial" w:cs="Arial" w:eastAsia="Arial" w:hAnsi="Arial"/>
          <w:b/>
          <w:bCs/>
          <w:color w:val="00703C"/>
          <w:sz w:val="24"/>
          <w:szCs w:val="24"/>
        </w:rPr>
        <w:t xml:space="preserve">3.3 Dashboard &amp; Reporting</w:t>
      </w:r>
    </w:p>
    <w:p>
      <w:pPr>
        <w:pStyle w:val="ListParagraph"/>
        <w:numPr>
          <w:ilvl w:val="0"/>
          <w:numId w:val="2"/>
        </w:numPr>
        <w:spacing w:before="40" w:after="40"/>
      </w:pPr>
      <w:r>
        <w:rPr>
          <w:rFonts w:ascii="Arial" w:cs="Arial" w:eastAsia="Arial" w:hAnsi="Arial"/>
          <w:sz w:val="20"/>
          <w:szCs w:val="20"/>
        </w:rPr>
        <w:t xml:space="preserve">Role-based dashboards tailored for: Drilling Engineers, Maintenance Supervisors, Asset Integrity Managers, and DTD Leadership (Executive KPI View).</w:t>
      </w:r>
    </w:p>
    <w:p>
      <w:pPr>
        <w:pStyle w:val="ListParagraph"/>
        <w:numPr>
          <w:ilvl w:val="0"/>
          <w:numId w:val="2"/>
        </w:numPr>
        <w:spacing w:before="40" w:after="40"/>
      </w:pPr>
      <w:r>
        <w:rPr>
          <w:rFonts w:ascii="Arial" w:cs="Arial" w:eastAsia="Arial" w:hAnsi="Arial"/>
          <w:sz w:val="20"/>
          <w:szCs w:val="20"/>
        </w:rPr>
        <w:t xml:space="preserve">Real-time equipment health index visualization per rig and per equipment unit.</w:t>
      </w:r>
    </w:p>
    <w:p>
      <w:pPr>
        <w:pStyle w:val="ListParagraph"/>
        <w:numPr>
          <w:ilvl w:val="0"/>
          <w:numId w:val="2"/>
        </w:numPr>
        <w:spacing w:before="40" w:after="40"/>
      </w:pPr>
      <w:r>
        <w:rPr>
          <w:rFonts w:ascii="Arial" w:cs="Arial" w:eastAsia="Arial" w:hAnsi="Arial"/>
          <w:sz w:val="20"/>
          <w:szCs w:val="20"/>
        </w:rPr>
        <w:t xml:space="preserve">Automated weekly and monthly PDF/Excel reports with NPT avoidance metrics, alert statistics, and model performance indicators.</w:t>
      </w:r>
    </w:p>
    <w:p>
      <w:pPr>
        <w:pStyle w:val="ListParagraph"/>
        <w:numPr>
          <w:ilvl w:val="0"/>
          <w:numId w:val="2"/>
        </w:numPr>
        <w:spacing w:before="40" w:after="40"/>
      </w:pPr>
      <w:r>
        <w:rPr>
          <w:rFonts w:ascii="Arial" w:cs="Arial" w:eastAsia="Arial" w:hAnsi="Arial"/>
          <w:sz w:val="20"/>
          <w:szCs w:val="20"/>
        </w:rPr>
        <w:t xml:space="preserve">Support Arabic and English UI languages.</w:t>
      </w:r>
    </w:p>
    <w:p>
      <w:pPr>
        <w:pStyle w:val="Heading2"/>
        <w:spacing w:before="300" w:after="120"/>
      </w:pPr>
      <w:r>
        <w:rPr>
          <w:rFonts w:ascii="Arial" w:cs="Arial" w:eastAsia="Arial" w:hAnsi="Arial"/>
          <w:b/>
          <w:bCs/>
          <w:color w:val="00703C"/>
          <w:sz w:val="24"/>
          <w:szCs w:val="24"/>
        </w:rPr>
        <w:t xml:space="preserve">3.4 SAP PM Integration</w:t>
      </w:r>
    </w:p>
    <w:p>
      <w:pPr>
        <w:pStyle w:val="ListParagraph"/>
        <w:numPr>
          <w:ilvl w:val="0"/>
          <w:numId w:val="2"/>
        </w:numPr>
        <w:spacing w:before="40" w:after="40"/>
      </w:pPr>
      <w:r>
        <w:rPr>
          <w:rFonts w:ascii="Arial" w:cs="Arial" w:eastAsia="Arial" w:hAnsi="Arial"/>
          <w:sz w:val="20"/>
          <w:szCs w:val="20"/>
        </w:rPr>
        <w:t xml:space="preserve">Automated generation of SAP PM Notifications (PM01/PM02) and Work Orders (PM03) upon alert threshold breach.</w:t>
      </w:r>
    </w:p>
    <w:p>
      <w:pPr>
        <w:pStyle w:val="ListParagraph"/>
        <w:numPr>
          <w:ilvl w:val="0"/>
          <w:numId w:val="2"/>
        </w:numPr>
        <w:spacing w:before="40" w:after="40"/>
      </w:pPr>
      <w:r>
        <w:rPr>
          <w:rFonts w:ascii="Arial" w:cs="Arial" w:eastAsia="Arial" w:hAnsi="Arial"/>
          <w:sz w:val="20"/>
          <w:szCs w:val="20"/>
        </w:rPr>
        <w:t xml:space="preserve">Bidirectional synchronization of maintenance history from SAP PM to enrich ML training datasets.</w:t>
      </w:r>
    </w:p>
    <w:p>
      <w:pPr>
        <w:pStyle w:val="ListParagraph"/>
        <w:numPr>
          <w:ilvl w:val="0"/>
          <w:numId w:val="2"/>
        </w:numPr>
        <w:spacing w:before="40" w:after="40"/>
      </w:pPr>
      <w:r>
        <w:rPr>
          <w:rFonts w:ascii="Arial" w:cs="Arial" w:eastAsia="Arial" w:hAnsi="Arial"/>
          <w:sz w:val="20"/>
          <w:szCs w:val="20"/>
        </w:rPr>
        <w:t xml:space="preserve">Support SAP S/4HANA 2023 and SAP ECC 6.0 EhP8 environments.</w:t>
      </w:r>
    </w:p>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4. TECHNICAL REQUIREMENTS</w:t>
      </w:r>
    </w:p>
    <w:p>
      <w:pPr>
        <w:pStyle w:val="ListParagraph"/>
        <w:numPr>
          <w:ilvl w:val="0"/>
          <w:numId w:val="2"/>
        </w:numPr>
        <w:spacing w:before="40" w:after="40"/>
      </w:pPr>
      <w:r>
        <w:rPr>
          <w:rFonts w:ascii="Arial" w:cs="Arial" w:eastAsia="Arial" w:hAnsi="Arial"/>
          <w:sz w:val="20"/>
          <w:szCs w:val="20"/>
        </w:rPr>
        <w:t xml:space="preserve">Cloud-native architecture deployed on an approved hyperscaler platform (Microsolvex Azure, AWS, or Google Cloud) within UAE sovereign data residency boundaries, or within ALDEC's on-premise private cloud.</w:t>
      </w:r>
    </w:p>
    <w:p>
      <w:pPr>
        <w:pStyle w:val="ListParagraph"/>
        <w:numPr>
          <w:ilvl w:val="0"/>
          <w:numId w:val="2"/>
        </w:numPr>
        <w:spacing w:before="40" w:after="40"/>
      </w:pPr>
      <w:r>
        <w:rPr>
          <w:rFonts w:ascii="Arial" w:cs="Arial" w:eastAsia="Arial" w:hAnsi="Arial"/>
          <w:sz w:val="20"/>
          <w:szCs w:val="20"/>
        </w:rPr>
        <w:t xml:space="preserve">Microservices-based architecture with containerization (Kubernetes/Docker) to support horizontal scaling.</w:t>
      </w:r>
    </w:p>
    <w:p>
      <w:pPr>
        <w:pStyle w:val="ListParagraph"/>
        <w:numPr>
          <w:ilvl w:val="0"/>
          <w:numId w:val="2"/>
        </w:numPr>
        <w:spacing w:before="40" w:after="40"/>
      </w:pPr>
      <w:r>
        <w:rPr>
          <w:rFonts w:ascii="Arial" w:cs="Arial" w:eastAsia="Arial" w:hAnsi="Arial"/>
          <w:sz w:val="20"/>
          <w:szCs w:val="20"/>
        </w:rPr>
        <w:t xml:space="preserve">REST and GraphQL API exposure for all core platform services.</w:t>
      </w:r>
    </w:p>
    <w:p>
      <w:pPr>
        <w:pStyle w:val="ListParagraph"/>
        <w:numPr>
          <w:ilvl w:val="0"/>
          <w:numId w:val="2"/>
        </w:numPr>
        <w:spacing w:before="40" w:after="40"/>
      </w:pPr>
      <w:r>
        <w:rPr>
          <w:rFonts w:ascii="Arial" w:cs="Arial" w:eastAsia="Arial" w:hAnsi="Arial"/>
          <w:sz w:val="20"/>
          <w:szCs w:val="20"/>
        </w:rPr>
        <w:t xml:space="preserve">Support for minimum 10,000 concurrent data streams with sub-second processing latency at peak load.</w:t>
      </w:r>
    </w:p>
    <w:p>
      <w:pPr>
        <w:pStyle w:val="ListParagraph"/>
        <w:numPr>
          <w:ilvl w:val="0"/>
          <w:numId w:val="2"/>
        </w:numPr>
        <w:spacing w:before="40" w:after="40"/>
      </w:pPr>
      <w:r>
        <w:rPr>
          <w:rFonts w:ascii="Arial" w:cs="Arial" w:eastAsia="Arial" w:hAnsi="Arial"/>
          <w:sz w:val="20"/>
          <w:szCs w:val="20"/>
        </w:rPr>
        <w:t xml:space="preserve">High availability architecture with 99.9% monthly uptime SLA (excluding planned maintenance windows).</w:t>
      </w:r>
    </w:p>
    <w:p>
      <w:pPr>
        <w:pStyle w:val="ListParagraph"/>
        <w:numPr>
          <w:ilvl w:val="0"/>
          <w:numId w:val="2"/>
        </w:numPr>
        <w:spacing w:before="40" w:after="40"/>
      </w:pPr>
      <w:r>
        <w:rPr>
          <w:rFonts w:ascii="Arial" w:cs="Arial" w:eastAsia="Arial" w:hAnsi="Arial"/>
          <w:sz w:val="20"/>
          <w:szCs w:val="20"/>
        </w:rPr>
        <w:t xml:space="preserve">Disaster recovery capability with RPO &lt;= 1 hour and RTO &lt;= 4 hours.</w:t>
      </w:r>
    </w:p>
    <w:p>
      <w:pPr>
        <w:pStyle w:val="ListParagraph"/>
        <w:numPr>
          <w:ilvl w:val="0"/>
          <w:numId w:val="2"/>
        </w:numPr>
        <w:spacing w:before="40" w:after="40"/>
      </w:pPr>
      <w:r>
        <w:rPr>
          <w:rFonts w:ascii="Arial" w:cs="Arial" w:eastAsia="Arial" w:hAnsi="Arial"/>
          <w:sz w:val="20"/>
          <w:szCs w:val="20"/>
        </w:rPr>
        <w:t xml:space="preserve">Support OPC-UA, MQTT, Modbus TCP, and OSIsoft PI API protocols for industrial data ingestion.</w:t>
      </w:r>
    </w:p>
    <w:p>
      <w:pPr>
        <w:pStyle w:val="ListParagraph"/>
        <w:numPr>
          <w:ilvl w:val="0"/>
          <w:numId w:val="2"/>
        </w:numPr>
        <w:spacing w:before="40" w:after="40"/>
      </w:pPr>
      <w:r>
        <w:rPr>
          <w:rFonts w:ascii="Arial" w:cs="Arial" w:eastAsia="Arial" w:hAnsi="Arial"/>
          <w:sz w:val="20"/>
          <w:szCs w:val="20"/>
        </w:rPr>
        <w:t xml:space="preserve">Data storage supporting time-series databases (e.g., InfluxDB, TimescaleDB, or equivalent) alongside relational stores for metadata.</w:t>
      </w:r>
    </w:p>
    <w:p>
      <w:pPr>
        <w:pStyle w:val="ListParagraph"/>
        <w:numPr>
          <w:ilvl w:val="0"/>
          <w:numId w:val="2"/>
        </w:numPr>
        <w:spacing w:before="40" w:after="40"/>
      </w:pPr>
      <w:r>
        <w:rPr>
          <w:rFonts w:ascii="Arial" w:cs="Arial" w:eastAsia="Arial" w:hAnsi="Arial"/>
          <w:sz w:val="20"/>
          <w:szCs w:val="20"/>
        </w:rPr>
        <w:t xml:space="preserve">MLOps pipeline supporting continuous integration and continuous deployment (CI/CD) of updated models with rollback capability.</w:t>
      </w:r>
    </w:p>
    <w:p>
      <w:pPr>
        <w:pStyle w:val="ListParagraph"/>
        <w:numPr>
          <w:ilvl w:val="0"/>
          <w:numId w:val="2"/>
        </w:numPr>
        <w:spacing w:before="40" w:after="40"/>
      </w:pPr>
      <w:r>
        <w:rPr>
          <w:rFonts w:ascii="Arial" w:cs="Arial" w:eastAsia="Arial" w:hAnsi="Arial"/>
          <w:sz w:val="20"/>
          <w:szCs w:val="20"/>
        </w:rPr>
        <w:t xml:space="preserve">Edge computing capability for rigs with intermittent or bandwidth-constrained satellite connectivity (support for inference at edge nodes with &gt;= 50ms response time).</w:t>
      </w:r>
    </w:p>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5. INTEGRATION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360"/>
        <w:gridCol w:w="2000"/>
      </w:tblGrid>
      <w:tr>
        <w:tc>
          <w:tcPr>
            <w:tcW w:type="dxa" w:w="28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Integration Point</w:t>
            </w:r>
          </w:p>
        </w:tc>
        <w:tc>
          <w:tcPr>
            <w:tcW w:type="dxa" w:w="22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Protocol / Standard</w:t>
            </w:r>
          </w:p>
        </w:tc>
        <w:tc>
          <w:tcPr>
            <w:tcW w:type="dxa" w:w="236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ALDEC System</w:t>
            </w:r>
          </w:p>
        </w:tc>
        <w:tc>
          <w:tcPr>
            <w:tcW w:type="dxa" w:w="20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OSIsoft PI Historian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PI Web API / OLEDB</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PI Server v2019+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Mandatory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SCADA Systems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OPC-UA, Modbus TCP</w:t>
            </w:r>
          </w:p>
        </w:tc>
        <w:tc>
          <w:tcPr>
            <w:tcW w:type="dxa" w:w="2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Wonderware, Honifield Experion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Mandatory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SAP Plant Maintenance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SAP RFC / REST API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SAP S/4HANA 2023 / ECC 6.0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Mandatory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ALDEC Identity Provider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SAML 2.0 / OIDC</w:t>
            </w:r>
          </w:p>
        </w:tc>
        <w:tc>
          <w:tcPr>
            <w:tcW w:type="dxa" w:w="2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Microsolvex Azure AD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Mandatory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ALDEC Network (MPLS)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HTTPS / TLS 1.3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ALDEC Intranet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Mandatory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Drilling MIS (DIMS)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REST API</w:t>
            </w:r>
          </w:p>
        </w:tc>
        <w:tc>
          <w:tcPr>
            <w:tcW w:type="dxa" w:w="2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Halliburton Landmark WellPlan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Mandatory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CMMS (Maximo)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REST / CSV Import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ICM Maximus 7.6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Desirable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Drilling Data Bus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WITSML 2.0</w:t>
            </w:r>
          </w:p>
        </w:tc>
        <w:tc>
          <w:tcPr>
            <w:tcW w:type="dxa" w:w="2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NOV WellData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Desirable</w:t>
            </w:r>
          </w:p>
        </w:tc>
      </w:tr>
    </w:tbl>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6. DATA SECURITY &amp; COMPLIANCE REQUIREMENTS</w:t>
      </w:r>
    </w:p>
    <w:p>
      <w:pPr>
        <w:pStyle w:val="Heading2"/>
        <w:spacing w:before="300" w:after="120"/>
      </w:pPr>
      <w:r>
        <w:rPr>
          <w:rFonts w:ascii="Arial" w:cs="Arial" w:eastAsia="Arial" w:hAnsi="Arial"/>
          <w:b/>
          <w:bCs/>
          <w:color w:val="00703C"/>
          <w:sz w:val="24"/>
          <w:szCs w:val="24"/>
        </w:rPr>
        <w:t xml:space="preserve">6.1 Mandatory Compliance Standards</w:t>
      </w:r>
    </w:p>
    <w:p>
      <w:pPr>
        <w:pStyle w:val="ListParagraph"/>
        <w:numPr>
          <w:ilvl w:val="0"/>
          <w:numId w:val="2"/>
        </w:numPr>
        <w:spacing w:before="40" w:after="40"/>
      </w:pPr>
      <w:r>
        <w:rPr>
          <w:rFonts w:ascii="Arial" w:cs="Arial" w:eastAsia="Arial" w:hAnsi="Arial"/>
          <w:sz w:val="20"/>
          <w:szCs w:val="20"/>
        </w:rPr>
        <w:t xml:space="preserve">Full compliance with UAE Federal Law No. 45 of 2021 (Personal Data Protection Law — PDPL) is mandatory.</w:t>
      </w:r>
    </w:p>
    <w:p>
      <w:pPr>
        <w:pStyle w:val="ListParagraph"/>
        <w:numPr>
          <w:ilvl w:val="0"/>
          <w:numId w:val="2"/>
        </w:numPr>
        <w:spacing w:before="40" w:after="40"/>
      </w:pPr>
      <w:r>
        <w:rPr>
          <w:rFonts w:ascii="Arial" w:cs="Arial" w:eastAsia="Arial" w:hAnsi="Arial"/>
          <w:sz w:val="20"/>
          <w:szCs w:val="20"/>
        </w:rPr>
        <w:t xml:space="preserve">Compliance with Abu Dhabi Executive Office Cybersecurity Standards (ADEO Cybersecurity Policy Framework v2.0).</w:t>
      </w:r>
    </w:p>
    <w:p>
      <w:pPr>
        <w:pStyle w:val="ListParagraph"/>
        <w:numPr>
          <w:ilvl w:val="0"/>
          <w:numId w:val="2"/>
        </w:numPr>
        <w:spacing w:before="40" w:after="40"/>
      </w:pPr>
      <w:r>
        <w:rPr>
          <w:rFonts w:ascii="Arial" w:cs="Arial" w:eastAsia="Arial" w:hAnsi="Arial"/>
          <w:sz w:val="20"/>
          <w:szCs w:val="20"/>
        </w:rPr>
        <w:t xml:space="preserve">ISO/IEC 27001:2022 Information Security Management certification required for the vendor's relevant delivery team/division.</w:t>
      </w:r>
    </w:p>
    <w:p>
      <w:pPr>
        <w:pStyle w:val="ListParagraph"/>
        <w:numPr>
          <w:ilvl w:val="0"/>
          <w:numId w:val="2"/>
        </w:numPr>
        <w:spacing w:before="40" w:after="40"/>
      </w:pPr>
      <w:r>
        <w:rPr>
          <w:rFonts w:ascii="Arial" w:cs="Arial" w:eastAsia="Arial" w:hAnsi="Arial"/>
          <w:sz w:val="20"/>
          <w:szCs w:val="20"/>
        </w:rPr>
        <w:t xml:space="preserve">IEC 62443 compliance for all OT/ICS-connected components of the solution.</w:t>
      </w:r>
    </w:p>
    <w:p>
      <w:pPr>
        <w:pStyle w:val="ListParagraph"/>
        <w:numPr>
          <w:ilvl w:val="0"/>
          <w:numId w:val="2"/>
        </w:numPr>
        <w:spacing w:before="40" w:after="40"/>
      </w:pPr>
      <w:r>
        <w:rPr>
          <w:rFonts w:ascii="Arial" w:cs="Arial" w:eastAsia="Arial" w:hAnsi="Arial"/>
          <w:sz w:val="20"/>
          <w:szCs w:val="20"/>
        </w:rPr>
        <w:t xml:space="preserve">ALDEC-specific Data Classification Policy must be adhered to; all drilling operational data is classified as CONFIDENTIAL.</w:t>
      </w:r>
    </w:p>
    <w:p>
      <w:pPr>
        <w:pStyle w:val="Heading2"/>
        <w:spacing w:before="300" w:after="120"/>
      </w:pPr>
      <w:r>
        <w:rPr>
          <w:rFonts w:ascii="Arial" w:cs="Arial" w:eastAsia="Arial" w:hAnsi="Arial"/>
          <w:b/>
          <w:bCs/>
          <w:color w:val="00703C"/>
          <w:sz w:val="24"/>
          <w:szCs w:val="24"/>
        </w:rPr>
        <w:t xml:space="preserve">6.2 Data Residency &amp; Sovereignty</w:t>
      </w:r>
    </w:p>
    <w:p>
      <w:pPr>
        <w:pStyle w:val="ListParagraph"/>
        <w:numPr>
          <w:ilvl w:val="0"/>
          <w:numId w:val="2"/>
        </w:numPr>
        <w:spacing w:before="40" w:after="40"/>
      </w:pPr>
      <w:r>
        <w:rPr>
          <w:rFonts w:ascii="Arial" w:cs="Arial" w:eastAsia="Arial" w:hAnsi="Arial"/>
          <w:sz w:val="20"/>
          <w:szCs w:val="20"/>
        </w:rPr>
        <w:t xml:space="preserve">All ALDEC operational data must remain within UAE geographic boundaries at rest and in transit.</w:t>
      </w:r>
    </w:p>
    <w:p>
      <w:pPr>
        <w:pStyle w:val="ListParagraph"/>
        <w:numPr>
          <w:ilvl w:val="0"/>
          <w:numId w:val="2"/>
        </w:numPr>
        <w:spacing w:before="40" w:after="40"/>
      </w:pPr>
      <w:r>
        <w:rPr>
          <w:rFonts w:ascii="Arial" w:cs="Arial" w:eastAsia="Arial" w:hAnsi="Arial"/>
          <w:sz w:val="20"/>
          <w:szCs w:val="20"/>
        </w:rPr>
        <w:t xml:space="preserve">No operational or sensitive data shall be routed through, processed, or stored in servers outside the UAE without explicit written approval from ALDEC CISO.</w:t>
      </w:r>
    </w:p>
    <w:p>
      <w:pPr>
        <w:pStyle w:val="ListParagraph"/>
        <w:numPr>
          <w:ilvl w:val="0"/>
          <w:numId w:val="2"/>
        </w:numPr>
        <w:spacing w:before="40" w:after="40"/>
      </w:pPr>
      <w:r>
        <w:rPr>
          <w:rFonts w:ascii="Arial" w:cs="Arial" w:eastAsia="Arial" w:hAnsi="Arial"/>
          <w:sz w:val="20"/>
          <w:szCs w:val="20"/>
        </w:rPr>
        <w:t xml:space="preserve">Vendor must provide signed Data Processing Agreement (DPA) prior to contract award.</w:t>
      </w:r>
    </w:p>
    <w:p>
      <w:pPr>
        <w:pStyle w:val="Heading2"/>
        <w:spacing w:before="300" w:after="120"/>
      </w:pPr>
      <w:r>
        <w:rPr>
          <w:rFonts w:ascii="Arial" w:cs="Arial" w:eastAsia="Arial" w:hAnsi="Arial"/>
          <w:b/>
          <w:bCs/>
          <w:color w:val="00703C"/>
          <w:sz w:val="24"/>
          <w:szCs w:val="24"/>
        </w:rPr>
        <w:t xml:space="preserve">6.3 Access Control &amp; Encryption</w:t>
      </w:r>
    </w:p>
    <w:p>
      <w:pPr>
        <w:pStyle w:val="ListParagraph"/>
        <w:numPr>
          <w:ilvl w:val="0"/>
          <w:numId w:val="2"/>
        </w:numPr>
        <w:spacing w:before="40" w:after="40"/>
      </w:pPr>
      <w:r>
        <w:rPr>
          <w:rFonts w:ascii="Arial" w:cs="Arial" w:eastAsia="Arial" w:hAnsi="Arial"/>
          <w:sz w:val="20"/>
          <w:szCs w:val="20"/>
        </w:rPr>
        <w:t xml:space="preserve">Multi-factor authentication (MFA) mandatory for all system access.</w:t>
      </w:r>
    </w:p>
    <w:p>
      <w:pPr>
        <w:pStyle w:val="ListParagraph"/>
        <w:numPr>
          <w:ilvl w:val="0"/>
          <w:numId w:val="2"/>
        </w:numPr>
        <w:spacing w:before="40" w:after="40"/>
      </w:pPr>
      <w:r>
        <w:rPr>
          <w:rFonts w:ascii="Arial" w:cs="Arial" w:eastAsia="Arial" w:hAnsi="Arial"/>
          <w:sz w:val="20"/>
          <w:szCs w:val="20"/>
        </w:rPr>
        <w:t xml:space="preserve">Role-Based Access Control (RBAC) with least-privilege principle enforcement.</w:t>
      </w:r>
    </w:p>
    <w:p>
      <w:pPr>
        <w:pStyle w:val="ListParagraph"/>
        <w:numPr>
          <w:ilvl w:val="0"/>
          <w:numId w:val="2"/>
        </w:numPr>
        <w:spacing w:before="40" w:after="40"/>
      </w:pPr>
      <w:r>
        <w:rPr>
          <w:rFonts w:ascii="Arial" w:cs="Arial" w:eastAsia="Arial" w:hAnsi="Arial"/>
          <w:sz w:val="20"/>
          <w:szCs w:val="20"/>
        </w:rPr>
        <w:t xml:space="preserve">AES-256 encryption at rest; TLS 1.3 minimum for all data in transit.</w:t>
      </w:r>
    </w:p>
    <w:p>
      <w:pPr>
        <w:pStyle w:val="ListParagraph"/>
        <w:numPr>
          <w:ilvl w:val="0"/>
          <w:numId w:val="2"/>
        </w:numPr>
        <w:spacing w:before="40" w:after="40"/>
      </w:pPr>
      <w:r>
        <w:rPr>
          <w:rFonts w:ascii="Arial" w:cs="Arial" w:eastAsia="Arial" w:hAnsi="Arial"/>
          <w:sz w:val="20"/>
          <w:szCs w:val="20"/>
        </w:rPr>
        <w:t xml:space="preserve">Comprehensive audit logging with tamper-evident log storage for a minimum of 3 years.</w:t>
      </w:r>
    </w:p>
    <w:p>
      <w:pPr>
        <w:pStyle w:val="ListParagraph"/>
        <w:numPr>
          <w:ilvl w:val="0"/>
          <w:numId w:val="2"/>
        </w:numPr>
        <w:spacing w:before="40" w:after="40"/>
      </w:pPr>
      <w:r>
        <w:rPr>
          <w:rFonts w:ascii="Arial" w:cs="Arial" w:eastAsia="Arial" w:hAnsi="Arial"/>
          <w:sz w:val="20"/>
          <w:szCs w:val="20"/>
        </w:rPr>
        <w:t xml:space="preserve">Annual third-party penetration testing with results submitted to ALDEC Security team within 30 days of test completion.</w:t>
      </w:r>
    </w:p>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7. VENDOR QUALIFICATIONS</w:t>
      </w:r>
    </w:p>
    <w:p>
      <w:pPr>
        <w:pStyle w:val="Heading2"/>
        <w:spacing w:before="300" w:after="120"/>
      </w:pPr>
      <w:r>
        <w:rPr>
          <w:rFonts w:ascii="Arial" w:cs="Arial" w:eastAsia="Arial" w:hAnsi="Arial"/>
          <w:b/>
          <w:bCs/>
          <w:color w:val="00703C"/>
          <w:sz w:val="24"/>
          <w:szCs w:val="24"/>
        </w:rPr>
        <w:t xml:space="preserve">7.1 Mandatory Qualifications</w:t>
      </w:r>
    </w:p>
    <w:p>
      <w:pPr>
        <w:pStyle w:val="ListParagraph"/>
        <w:numPr>
          <w:ilvl w:val="0"/>
          <w:numId w:val="2"/>
        </w:numPr>
        <w:spacing w:before="40" w:after="40"/>
      </w:pPr>
      <w:r>
        <w:rPr>
          <w:rFonts w:ascii="Arial" w:cs="Arial" w:eastAsia="Arial" w:hAnsi="Arial"/>
          <w:sz w:val="20"/>
          <w:szCs w:val="20"/>
        </w:rPr>
        <w:t xml:space="preserve">Minimum 5 years of demonstrated experience delivering AI/ML or industrial IoT solutions to tier-1 oil &amp; gas operators (NOCs or IOCs).</w:t>
      </w:r>
    </w:p>
    <w:p>
      <w:pPr>
        <w:pStyle w:val="ListParagraph"/>
        <w:numPr>
          <w:ilvl w:val="0"/>
          <w:numId w:val="2"/>
        </w:numPr>
        <w:spacing w:before="40" w:after="40"/>
      </w:pPr>
      <w:r>
        <w:rPr>
          <w:rFonts w:ascii="Arial" w:cs="Arial" w:eastAsia="Arial" w:hAnsi="Arial"/>
          <w:sz w:val="20"/>
          <w:szCs w:val="20"/>
        </w:rPr>
        <w:t xml:space="preserve">At least 3 completed predictive maintenance implementations in the oil &amp; gas, petrochemical, or heavy industrial sector, with documented NPT reduction outcomes.</w:t>
      </w:r>
    </w:p>
    <w:p>
      <w:pPr>
        <w:pStyle w:val="ListParagraph"/>
        <w:numPr>
          <w:ilvl w:val="0"/>
          <w:numId w:val="2"/>
        </w:numPr>
        <w:spacing w:before="40" w:after="40"/>
      </w:pPr>
      <w:r>
        <w:rPr>
          <w:rFonts w:ascii="Arial" w:cs="Arial" w:eastAsia="Arial" w:hAnsi="Arial"/>
          <w:sz w:val="20"/>
          <w:szCs w:val="20"/>
        </w:rPr>
        <w:t xml:space="preserve">Presence in the UAE with a registered commercial entity or confirmed partnership with a UAE-registered entity.</w:t>
      </w:r>
    </w:p>
    <w:p>
      <w:pPr>
        <w:pStyle w:val="ListParagraph"/>
        <w:numPr>
          <w:ilvl w:val="0"/>
          <w:numId w:val="2"/>
        </w:numPr>
        <w:spacing w:before="40" w:after="40"/>
      </w:pPr>
      <w:r>
        <w:rPr>
          <w:rFonts w:ascii="Arial" w:cs="Arial" w:eastAsia="Arial" w:hAnsi="Arial"/>
          <w:sz w:val="20"/>
          <w:szCs w:val="20"/>
        </w:rPr>
        <w:t xml:space="preserve">ISO/IEC 27001:2022 certification for the relevant practice/division delivering this project.</w:t>
      </w:r>
    </w:p>
    <w:p>
      <w:pPr>
        <w:pStyle w:val="ListParagraph"/>
        <w:numPr>
          <w:ilvl w:val="0"/>
          <w:numId w:val="2"/>
        </w:numPr>
        <w:spacing w:before="40" w:after="40"/>
      </w:pPr>
      <w:r>
        <w:rPr>
          <w:rFonts w:ascii="Arial" w:cs="Arial" w:eastAsia="Arial" w:hAnsi="Arial"/>
          <w:sz w:val="20"/>
          <w:szCs w:val="20"/>
        </w:rPr>
        <w:t xml:space="preserve">Minimum annual revenue of USD 100 million in the relevant technology practice area (AI/Analytics/Industrial IoT).</w:t>
      </w:r>
    </w:p>
    <w:p>
      <w:pPr>
        <w:pStyle w:val="ListParagraph"/>
        <w:numPr>
          <w:ilvl w:val="0"/>
          <w:numId w:val="2"/>
        </w:numPr>
        <w:spacing w:before="40" w:after="40"/>
      </w:pPr>
      <w:r>
        <w:rPr>
          <w:rFonts w:ascii="Arial" w:cs="Arial" w:eastAsia="Arial" w:hAnsi="Arial"/>
          <w:sz w:val="20"/>
          <w:szCs w:val="20"/>
        </w:rPr>
        <w:t xml:space="preserve">No active legal proceedings with GCC NOCs or regulatory authorities that could impact delivery capacity.</w:t>
      </w:r>
    </w:p>
    <w:p>
      <w:pPr>
        <w:pStyle w:val="Heading2"/>
        <w:spacing w:before="300" w:after="120"/>
      </w:pPr>
      <w:r>
        <w:rPr>
          <w:rFonts w:ascii="Arial" w:cs="Arial" w:eastAsia="Arial" w:hAnsi="Arial"/>
          <w:b/>
          <w:bCs/>
          <w:color w:val="00703C"/>
          <w:sz w:val="24"/>
          <w:szCs w:val="24"/>
        </w:rPr>
        <w:t xml:space="preserve">7.2 Preferred Qualifications</w:t>
      </w:r>
    </w:p>
    <w:p>
      <w:pPr>
        <w:pStyle w:val="ListParagraph"/>
        <w:numPr>
          <w:ilvl w:val="0"/>
          <w:numId w:val="2"/>
        </w:numPr>
        <w:spacing w:before="40" w:after="40"/>
      </w:pPr>
      <w:r>
        <w:rPr>
          <w:rFonts w:ascii="Arial" w:cs="Arial" w:eastAsia="Arial" w:hAnsi="Arial"/>
          <w:sz w:val="20"/>
          <w:szCs w:val="20"/>
        </w:rPr>
        <w:t xml:space="preserve">Prior delivery experience with ALDEC Group companies or other UAE NOC/IOC entities.</w:t>
      </w:r>
    </w:p>
    <w:p>
      <w:pPr>
        <w:pStyle w:val="ListParagraph"/>
        <w:numPr>
          <w:ilvl w:val="0"/>
          <w:numId w:val="2"/>
        </w:numPr>
        <w:spacing w:before="40" w:after="40"/>
      </w:pPr>
      <w:r>
        <w:rPr>
          <w:rFonts w:ascii="Arial" w:cs="Arial" w:eastAsia="Arial" w:hAnsi="Arial"/>
          <w:sz w:val="20"/>
          <w:szCs w:val="20"/>
        </w:rPr>
        <w:t xml:space="preserve">Established UAE Innovation &amp; Technology Center (ITC) partnership under ALDEC's In-Country Value (ICV) program.</w:t>
      </w:r>
    </w:p>
    <w:p>
      <w:pPr>
        <w:pStyle w:val="ListParagraph"/>
        <w:numPr>
          <w:ilvl w:val="0"/>
          <w:numId w:val="2"/>
        </w:numPr>
        <w:spacing w:before="40" w:after="40"/>
      </w:pPr>
      <w:r>
        <w:rPr>
          <w:rFonts w:ascii="Arial" w:cs="Arial" w:eastAsia="Arial" w:hAnsi="Arial"/>
          <w:sz w:val="20"/>
          <w:szCs w:val="20"/>
        </w:rPr>
        <w:t xml:space="preserve">Demonstrated use of UAE-based cloud infrastructure (Microsolvex Azure UAE North, AWS ME-Central, or equivalent).</w:t>
      </w:r>
    </w:p>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8. DELIVERABLES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00"/>
        <w:gridCol w:w="2000"/>
        <w:gridCol w:w="2060"/>
      </w:tblGrid>
      <w:tr>
        <w:tc>
          <w:tcPr>
            <w:tcW w:type="dxa" w:w="14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Phase</w:t>
            </w:r>
          </w:p>
        </w:tc>
        <w:tc>
          <w:tcPr>
            <w:tcW w:type="dxa" w:w="39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Milestone / Deliverable</w:t>
            </w:r>
          </w:p>
        </w:tc>
        <w:tc>
          <w:tcPr>
            <w:tcW w:type="dxa" w:w="20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Target Date</w:t>
            </w:r>
          </w:p>
        </w:tc>
        <w:tc>
          <w:tcPr>
            <w:tcW w:type="dxa" w:w="206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Duration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Contract Award &amp; Kick-Off Workshop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 2</w:t>
            </w:r>
          </w:p>
        </w:tc>
        <w:tc>
          <w:tcPr>
            <w:tcW w:type="dxa" w:w="2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2 Weeks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1</w:t>
            </w:r>
          </w:p>
        </w:tc>
        <w:tc>
          <w:tcPr>
            <w:tcW w:type="dxa" w:w="39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Architecture Design Document &amp; Data Integration Blueprint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 8</w:t>
            </w:r>
          </w:p>
        </w:tc>
        <w:tc>
          <w:tcPr>
            <w:tcW w:type="dxa" w:w="20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6 Weeks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2</w:t>
            </w:r>
          </w:p>
        </w:tc>
        <w:tc>
          <w:tcPr>
            <w:tcW w:type="dxa" w:w="3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Data Pipeline Deployment &amp; Historian Integration (Pilot Rig)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 16</w:t>
            </w:r>
          </w:p>
        </w:tc>
        <w:tc>
          <w:tcPr>
            <w:tcW w:type="dxa" w:w="2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8 Weeks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3</w:t>
            </w:r>
          </w:p>
        </w:tc>
        <w:tc>
          <w:tcPr>
            <w:tcW w:type="dxa" w:w="39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ML Model Development &amp; Validation (Top Drive, Mud Pump)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 24</w:t>
            </w:r>
          </w:p>
        </w:tc>
        <w:tc>
          <w:tcPr>
            <w:tcW w:type="dxa" w:w="20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8 Weeks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4</w:t>
            </w:r>
          </w:p>
        </w:tc>
        <w:tc>
          <w:tcPr>
            <w:tcW w:type="dxa" w:w="3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UAT — Pilot Rig (2 rigs)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 30</w:t>
            </w:r>
          </w:p>
        </w:tc>
        <w:tc>
          <w:tcPr>
            <w:tcW w:type="dxa" w:w="2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6 Weeks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5</w:t>
            </w:r>
          </w:p>
        </w:tc>
        <w:tc>
          <w:tcPr>
            <w:tcW w:type="dxa" w:w="39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Full Fleet Rollout — Phase 1 (15 Rigs)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 40</w:t>
            </w:r>
          </w:p>
        </w:tc>
        <w:tc>
          <w:tcPr>
            <w:tcW w:type="dxa" w:w="20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10 Weeks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6</w:t>
            </w:r>
          </w:p>
        </w:tc>
        <w:tc>
          <w:tcPr>
            <w:tcW w:type="dxa" w:w="3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Full Fleet Rollout — Phase 2 (Remaining 20 Rigs)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 52</w:t>
            </w:r>
          </w:p>
        </w:tc>
        <w:tc>
          <w:tcPr>
            <w:tcW w:type="dxa" w:w="2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12 Weeks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7</w:t>
            </w:r>
          </w:p>
        </w:tc>
        <w:tc>
          <w:tcPr>
            <w:tcW w:type="dxa" w:w="39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SAP PM Integration Go-Live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 56</w:t>
            </w:r>
          </w:p>
        </w:tc>
        <w:tc>
          <w:tcPr>
            <w:tcW w:type="dxa" w:w="20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4 Weeks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8</w:t>
            </w:r>
          </w:p>
        </w:tc>
        <w:tc>
          <w:tcPr>
            <w:tcW w:type="dxa" w:w="3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Training, Knowledge Transfer &amp; Hypercare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 60</w:t>
            </w:r>
          </w:p>
        </w:tc>
        <w:tc>
          <w:tcPr>
            <w:tcW w:type="dxa" w:w="2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4 Weeks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9</w:t>
            </w:r>
          </w:p>
        </w:tc>
        <w:tc>
          <w:tcPr>
            <w:tcW w:type="dxa" w:w="39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Project Close-Out &amp; Transition to BAU Support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 64</w:t>
            </w:r>
          </w:p>
        </w:tc>
        <w:tc>
          <w:tcPr>
            <w:tcW w:type="dxa" w:w="20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4 Weeks</w:t>
            </w:r>
          </w:p>
        </w:tc>
      </w:tr>
    </w:tbl>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9. EVALUATION CRITERIA MATRIX</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560"/>
        <w:gridCol w:w="1600"/>
      </w:tblGrid>
      <w:tr>
        <w:tc>
          <w:tcPr>
            <w:tcW w:type="dxa" w:w="400"/>
            <w:tcBorders>
              <w:top w:val="single" w:color="CCCCCC" w:sz="1"/>
              <w:left w:val="single" w:color="CCCCCC" w:sz="1"/>
              <w:bottom w:val="single" w:color="CCCCCC" w:sz="1"/>
              <w:right w:val="single" w:color="CCCCCC" w:sz="1"/>
            </w:tcBorders>
            <w:shd w:fill="00703C" w:val="clear"/>
            <w:tcMar>
              <w:top w:type="dxa" w:w="100"/>
              <w:left w:type="dxa" w:w="150"/>
              <w:bottom w:type="dxa" w:w="100"/>
              <w:right w:type="dxa" w:w="150"/>
            </w:tcMa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00703C" w:val="clear"/>
            <w:tcMar>
              <w:top w:type="dxa" w:w="100"/>
              <w:left w:type="dxa" w:w="150"/>
              <w:bottom w:type="dxa" w:w="100"/>
              <w:right w:type="dxa" w:w="150"/>
            </w:tcMar>
          </w:tcPr>
          <w:p>
            <w:r>
              <w:rPr>
                <w:rFonts w:ascii="Arial" w:cs="Arial" w:eastAsia="Arial" w:hAnsi="Arial"/>
                <w:b/>
                <w:bCs/>
                <w:color w:val="FFFFFF"/>
                <w:sz w:val="18"/>
                <w:szCs w:val="18"/>
              </w:rPr>
              <w:t xml:space="preserve">Evaluation Category</w:t>
            </w:r>
          </w:p>
        </w:tc>
        <w:tc>
          <w:tcPr>
            <w:tcW w:type="dxa" w:w="3560"/>
            <w:tcBorders>
              <w:top w:val="single" w:color="CCCCCC" w:sz="1"/>
              <w:left w:val="single" w:color="CCCCCC" w:sz="1"/>
              <w:bottom w:val="single" w:color="CCCCCC" w:sz="1"/>
              <w:right w:val="single" w:color="CCCCCC" w:sz="1"/>
            </w:tcBorders>
            <w:shd w:fill="00703C" w:val="clear"/>
            <w:tcMar>
              <w:top w:type="dxa" w:w="100"/>
              <w:left w:type="dxa" w:w="150"/>
              <w:bottom w:type="dxa" w:w="100"/>
              <w:right w:type="dxa" w:w="150"/>
            </w:tcMar>
          </w:tcPr>
          <w:p>
            <w:r>
              <w:rPr>
                <w:rFonts w:ascii="Arial" w:cs="Arial" w:eastAsia="Arial" w:hAnsi="Arial"/>
                <w:b/>
                <w:bCs/>
                <w:color w:val="FFFFFF"/>
                <w:sz w:val="18"/>
                <w:szCs w:val="18"/>
              </w:rPr>
              <w:t xml:space="preserve">Sub-Criteria</w:t>
            </w:r>
          </w:p>
        </w:tc>
        <w:tc>
          <w:tcPr>
            <w:tcW w:type="dxa" w:w="1600"/>
            <w:tcBorders>
              <w:top w:val="single" w:color="CCCCCC" w:sz="1"/>
              <w:left w:val="single" w:color="CCCCCC" w:sz="1"/>
              <w:bottom w:val="single" w:color="CCCCCC" w:sz="1"/>
              <w:right w:val="single" w:color="CCCCCC" w:sz="1"/>
            </w:tcBorders>
            <w:shd w:fill="00703C" w:val="clear"/>
            <w:tcMar>
              <w:top w:type="dxa" w:w="100"/>
              <w:left w:type="dxa" w:w="150"/>
              <w:bottom w:type="dxa" w:w="100"/>
              <w:right w:type="dxa" w:w="150"/>
            </w:tcMar>
          </w:tcPr>
          <w:p>
            <w:r>
              <w:rPr>
                <w:rFonts w:ascii="Arial" w:cs="Arial" w:eastAsia="Arial" w:hAnsi="Arial"/>
                <w:b/>
                <w:bCs/>
                <w:color w:val="FFFFFF"/>
                <w:sz w:val="18"/>
                <w:szCs w:val="18"/>
              </w:rPr>
              <w:t xml:space="preserve">Weight (%)</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Technical Solution Quality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Architecture, AI/ML methodology, scalability, edge capability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30%</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Compliance &amp; Security</w:t>
            </w:r>
          </w:p>
        </w:tc>
        <w:tc>
          <w:tcPr>
            <w:tcW w:type="dxa" w:w="3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ISO 27001, IEC 62443, UAE PDPL, data residency, encryption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20%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Integration Capability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OSIsoft PI, SAP PM, SCADA, WITSML, Azure AD — depth and coverage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15%</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Vendor Experience &amp; References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Oil &amp; gas PdM implementations, NPT reduction evidence, GCC experience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15%</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Commercial Proposal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Total cost of ownership (TCO), value for money, licensing clarity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10%</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Implementation Methodology</w:t>
            </w:r>
          </w:p>
        </w:tc>
        <w:tc>
          <w:tcPr>
            <w:tcW w:type="dxa" w:w="3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Project plan, risk management, change management, training plan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5%</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In-Country Value (ICV)</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UAE content, local hiring, partnerships with UAE entities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3%</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Nice-to-Have Features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Digital twin, GenAI, Arabic NLP, sustainability metrics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TOTAL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100%</w:t>
            </w:r>
          </w:p>
        </w:tc>
      </w:tr>
    </w:tbl>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10. MANDATORY REQUIREMENTS CHECKLIST</w:t>
      </w:r>
    </w:p>
    <w:p>
      <w:pPr>
        <w:spacing w:before="60" w:after="80"/>
      </w:pPr>
      <w:r>
        <w:rPr>
          <w:rFonts w:ascii="Arial" w:cs="Arial" w:eastAsia="Arial" w:hAnsi="Arial"/>
          <w:sz w:val="20"/>
          <w:szCs w:val="20"/>
        </w:rPr>
        <w:t xml:space="preserve">The following items are evaluated on a PASS/FAIL basis. Failure to comply with any mandatory item will result in disqualification from further evaluation.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360"/>
        <w:gridCol w:w="3500"/>
      </w:tblGrid>
      <w:tr>
        <w:tc>
          <w:tcPr>
            <w:tcW w:type="dxa" w:w="5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w:t>
            </w:r>
          </w:p>
        </w:tc>
        <w:tc>
          <w:tcPr>
            <w:tcW w:type="dxa" w:w="536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Mandatory Requirement</w:t>
            </w:r>
          </w:p>
        </w:tc>
        <w:tc>
          <w:tcPr>
            <w:tcW w:type="dxa" w:w="35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Evidence Required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M-01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ISO/IEC 27001:2022 certification (relevant practice/division)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Valid certificate copy</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M-02</w:t>
            </w:r>
          </w:p>
        </w:tc>
        <w:tc>
          <w:tcPr>
            <w:tcW w:type="dxa" w:w="5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UAE commercial registration or confirmed UAE partner</w:t>
            </w:r>
          </w:p>
        </w:tc>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CR copy or MOU</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M-03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Minimum 3 oil &amp; gas PdM references with documented NPT outcomes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Reference letters + case studies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M-04</w:t>
            </w:r>
          </w:p>
        </w:tc>
        <w:tc>
          <w:tcPr>
            <w:tcW w:type="dxa" w:w="5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All data hosted within UAE geographic boundaries (contractual)</w:t>
            </w:r>
          </w:p>
        </w:tc>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Signed Data Processing Agreement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M-05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Real-time bidirectional SAP PM API integration (S/4HANA or ECC 6.0)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Technical evidence / prior integration proof</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M-06</w:t>
            </w:r>
          </w:p>
        </w:tc>
        <w:tc>
          <w:tcPr>
            <w:tcW w:type="dxa" w:w="5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OSIsoft PI historian integration capability (production-ready)</w:t>
            </w:r>
          </w:p>
        </w:tc>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Certified connector or prior integration reference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M-07</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OPC-UA AND MQTT protocol support (both required)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Technical datasheet or architecture evidence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M-08</w:t>
            </w:r>
          </w:p>
        </w:tc>
        <w:tc>
          <w:tcPr>
            <w:tcW w:type="dxa" w:w="5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99.9% monthly uptime SLA commitment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Sample SLA document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M-09</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MFA enforced by default; RBAC with least-privilege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Security architecture documentation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M-10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UAE PDPL compliance AND ADEO Cybersecurity Framework (all 18 domains)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Signed CISO compliance declaration letter</w:t>
            </w:r>
          </w:p>
        </w:tc>
      </w:tr>
    </w:tbl>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11. NICE-TO-HAVE FEATURES</w:t>
      </w:r>
    </w:p>
    <w:p>
      <w:pPr>
        <w:pStyle w:val="ListParagraph"/>
        <w:numPr>
          <w:ilvl w:val="0"/>
          <w:numId w:val="2"/>
        </w:numPr>
        <w:spacing w:before="40" w:after="40"/>
      </w:pPr>
      <w:r>
        <w:rPr>
          <w:rFonts w:ascii="Arial" w:cs="Arial" w:eastAsia="Arial" w:hAnsi="Arial"/>
          <w:sz w:val="20"/>
          <w:szCs w:val="20"/>
        </w:rPr>
        <w:t xml:space="preserve">Integration with Digital Twin platforms (e.g., Bentley iTwin, Siemens Xcelerator, AVEVA) for 3D equipment visualization.</w:t>
      </w:r>
    </w:p>
    <w:p>
      <w:pPr>
        <w:pStyle w:val="ListParagraph"/>
        <w:numPr>
          <w:ilvl w:val="0"/>
          <w:numId w:val="2"/>
        </w:numPr>
        <w:spacing w:before="40" w:after="40"/>
      </w:pPr>
      <w:r>
        <w:rPr>
          <w:rFonts w:ascii="Arial" w:cs="Arial" w:eastAsia="Arial" w:hAnsi="Arial"/>
          <w:sz w:val="20"/>
          <w:szCs w:val="20"/>
        </w:rPr>
        <w:t xml:space="preserve">Generative AI-powered maintenance recommendations and natural language querying of equipment health status.</w:t>
      </w:r>
    </w:p>
    <w:p>
      <w:pPr>
        <w:pStyle w:val="ListParagraph"/>
        <w:numPr>
          <w:ilvl w:val="0"/>
          <w:numId w:val="2"/>
        </w:numPr>
        <w:spacing w:before="40" w:after="40"/>
      </w:pPr>
      <w:r>
        <w:rPr>
          <w:rFonts w:ascii="Arial" w:cs="Arial" w:eastAsia="Arial" w:hAnsi="Arial"/>
          <w:sz w:val="20"/>
          <w:szCs w:val="20"/>
        </w:rPr>
        <w:t xml:space="preserve">Arabic language NLP support for voice-based alert acknowledgment and reporting.</w:t>
      </w:r>
    </w:p>
    <w:p>
      <w:pPr>
        <w:pStyle w:val="ListParagraph"/>
        <w:numPr>
          <w:ilvl w:val="0"/>
          <w:numId w:val="2"/>
        </w:numPr>
        <w:spacing w:before="40" w:after="40"/>
      </w:pPr>
      <w:r>
        <w:rPr>
          <w:rFonts w:ascii="Arial" w:cs="Arial" w:eastAsia="Arial" w:hAnsi="Arial"/>
          <w:sz w:val="20"/>
          <w:szCs w:val="20"/>
        </w:rPr>
        <w:t xml:space="preserve">Sustainability dashboard tracking energy consumption per drill operation correlated with equipment health degradation.</w:t>
      </w:r>
    </w:p>
    <w:p>
      <w:pPr>
        <w:pStyle w:val="ListParagraph"/>
        <w:numPr>
          <w:ilvl w:val="0"/>
          <w:numId w:val="2"/>
        </w:numPr>
        <w:spacing w:before="40" w:after="40"/>
      </w:pPr>
      <w:r>
        <w:rPr>
          <w:rFonts w:ascii="Arial" w:cs="Arial" w:eastAsia="Arial" w:hAnsi="Arial"/>
          <w:sz w:val="20"/>
          <w:szCs w:val="20"/>
        </w:rPr>
        <w:t xml:space="preserve">Automated spare parts recommendation engine integrated with SAP MM (Materials Management).</w:t>
      </w:r>
    </w:p>
    <w:p>
      <w:pPr>
        <w:pStyle w:val="ListParagraph"/>
        <w:numPr>
          <w:ilvl w:val="0"/>
          <w:numId w:val="2"/>
        </w:numPr>
        <w:spacing w:before="40" w:after="40"/>
      </w:pPr>
      <w:r>
        <w:rPr>
          <w:rFonts w:ascii="Arial" w:cs="Arial" w:eastAsia="Arial" w:hAnsi="Arial"/>
          <w:sz w:val="20"/>
          <w:szCs w:val="20"/>
        </w:rPr>
        <w:t xml:space="preserve">WITSML 2.0 real-time drilling data stream integration for drilling parameter correlation.</w:t>
      </w:r>
    </w:p>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12. SUBMISSION FORMAT INSTRUCTIONS</w:t>
      </w:r>
    </w:p>
    <w:p>
      <w:pPr>
        <w:pStyle w:val="Heading2"/>
        <w:spacing w:before="300" w:after="120"/>
      </w:pPr>
      <w:r>
        <w:rPr>
          <w:rFonts w:ascii="Arial" w:cs="Arial" w:eastAsia="Arial" w:hAnsi="Arial"/>
          <w:b/>
          <w:bCs/>
          <w:color w:val="00703C"/>
          <w:sz w:val="24"/>
          <w:szCs w:val="24"/>
        </w:rPr>
        <w:t xml:space="preserve">12.1 Proposal Structure</w:t>
      </w:r>
    </w:p>
    <w:p>
      <w:pPr>
        <w:pStyle w:val="ListParagraph"/>
        <w:numPr>
          <w:ilvl w:val="0"/>
          <w:numId w:val="3"/>
        </w:numPr>
        <w:spacing w:before="40" w:after="40"/>
      </w:pPr>
      <w:r>
        <w:rPr>
          <w:rFonts w:ascii="Arial" w:cs="Arial" w:eastAsia="Arial" w:hAnsi="Arial"/>
          <w:sz w:val="20"/>
          <w:szCs w:val="20"/>
        </w:rPr>
        <w:t xml:space="preserve">Volume 1 — Executive Summary (maximum 10 pages)</w:t>
      </w:r>
    </w:p>
    <w:p>
      <w:pPr>
        <w:pStyle w:val="ListParagraph"/>
        <w:numPr>
          <w:ilvl w:val="0"/>
          <w:numId w:val="3"/>
        </w:numPr>
        <w:spacing w:before="40" w:after="40"/>
      </w:pPr>
      <w:r>
        <w:rPr>
          <w:rFonts w:ascii="Arial" w:cs="Arial" w:eastAsia="Arial" w:hAnsi="Arial"/>
          <w:sz w:val="20"/>
          <w:szCs w:val="20"/>
        </w:rPr>
        <w:t xml:space="preserve">Volume 2 — Technical Proposal</w:t>
      </w:r>
    </w:p>
    <w:p>
      <w:pPr>
        <w:pStyle w:val="ListParagraph"/>
        <w:numPr>
          <w:ilvl w:val="0"/>
          <w:numId w:val="3"/>
        </w:numPr>
        <w:spacing w:before="40" w:after="40"/>
      </w:pPr>
      <w:r>
        <w:rPr>
          <w:rFonts w:ascii="Arial" w:cs="Arial" w:eastAsia="Arial" w:hAnsi="Arial"/>
          <w:sz w:val="20"/>
          <w:szCs w:val="20"/>
        </w:rPr>
        <w:t xml:space="preserve">Volume 3 — Compliance &amp; Security Response (Section 6, item by item)</w:t>
      </w:r>
    </w:p>
    <w:p>
      <w:pPr>
        <w:pStyle w:val="ListParagraph"/>
        <w:numPr>
          <w:ilvl w:val="0"/>
          <w:numId w:val="3"/>
        </w:numPr>
        <w:spacing w:before="40" w:after="40"/>
      </w:pPr>
      <w:r>
        <w:rPr>
          <w:rFonts w:ascii="Arial" w:cs="Arial" w:eastAsia="Arial" w:hAnsi="Arial"/>
          <w:sz w:val="20"/>
          <w:szCs w:val="20"/>
        </w:rPr>
        <w:t xml:space="preserve">Volume 4 — Vendor Qualifications &amp; References (Section 7)</w:t>
      </w:r>
    </w:p>
    <w:p>
      <w:pPr>
        <w:pStyle w:val="ListParagraph"/>
        <w:numPr>
          <w:ilvl w:val="0"/>
          <w:numId w:val="3"/>
        </w:numPr>
        <w:spacing w:before="40" w:after="40"/>
      </w:pPr>
      <w:r>
        <w:rPr>
          <w:rFonts w:ascii="Arial" w:cs="Arial" w:eastAsia="Arial" w:hAnsi="Arial"/>
          <w:sz w:val="20"/>
          <w:szCs w:val="20"/>
        </w:rPr>
        <w:t xml:space="preserve">Volume 5 — Project Plan &amp; Methodology (Gantt chart required)</w:t>
      </w:r>
    </w:p>
    <w:p>
      <w:pPr>
        <w:pStyle w:val="ListParagraph"/>
        <w:numPr>
          <w:ilvl w:val="0"/>
          <w:numId w:val="3"/>
        </w:numPr>
        <w:spacing w:before="40" w:after="40"/>
      </w:pPr>
      <w:r>
        <w:rPr>
          <w:rFonts w:ascii="Arial" w:cs="Arial" w:eastAsia="Arial" w:hAnsi="Arial"/>
          <w:sz w:val="20"/>
          <w:szCs w:val="20"/>
        </w:rPr>
        <w:t xml:space="preserve">Volume 6 — Commercial Proposal (sealed separately)</w:t>
      </w:r>
    </w:p>
    <w:p>
      <w:pPr>
        <w:pStyle w:val="ListParagraph"/>
        <w:numPr>
          <w:ilvl w:val="0"/>
          <w:numId w:val="3"/>
        </w:numPr>
        <w:spacing w:before="40" w:after="40"/>
      </w:pPr>
      <w:r>
        <w:rPr>
          <w:rFonts w:ascii="Arial" w:cs="Arial" w:eastAsia="Arial" w:hAnsi="Arial"/>
          <w:sz w:val="20"/>
          <w:szCs w:val="20"/>
        </w:rPr>
        <w:t xml:space="preserve">Volume 7 — Mandatory Requirements Checklist with supporting evidence</w:t>
      </w:r>
    </w:p>
    <w:p>
      <w:pPr>
        <w:spacing w:before="60" w:after="60"/>
      </w:pPr>
      <w:r>
        <w:t xml:space="preserve"/>
      </w:r>
    </w:p>
    <w:p>
      <w:pPr>
        <w:pStyle w:val="Heading2"/>
        <w:spacing w:before="300" w:after="120"/>
      </w:pPr>
      <w:r>
        <w:rPr>
          <w:rFonts w:ascii="Arial" w:cs="Arial" w:eastAsia="Arial" w:hAnsi="Arial"/>
          <w:b/>
          <w:bCs/>
          <w:color w:val="00703C"/>
          <w:sz w:val="24"/>
          <w:szCs w:val="24"/>
        </w:rPr>
        <w:t xml:space="preserve">12.2 Submission Details</w:t>
      </w:r>
    </w:p>
    <w:p>
      <w:pPr>
        <w:pStyle w:val="ListParagraph"/>
        <w:numPr>
          <w:ilvl w:val="0"/>
          <w:numId w:val="2"/>
        </w:numPr>
        <w:spacing w:before="40" w:after="40"/>
      </w:pPr>
      <w:r>
        <w:rPr>
          <w:rFonts w:ascii="Arial" w:cs="Arial" w:eastAsia="Arial" w:hAnsi="Arial"/>
          <w:sz w:val="20"/>
          <w:szCs w:val="20"/>
        </w:rPr>
        <w:t xml:space="preserve">Electronic submission via ALDEC Vendor Portal by 28 February 2025, 17:00 GST.</w:t>
      </w:r>
    </w:p>
    <w:p>
      <w:pPr>
        <w:pStyle w:val="ListParagraph"/>
        <w:numPr>
          <w:ilvl w:val="0"/>
          <w:numId w:val="2"/>
        </w:numPr>
        <w:spacing w:before="40" w:after="40"/>
      </w:pPr>
      <w:r>
        <w:rPr>
          <w:rFonts w:ascii="Arial" w:cs="Arial" w:eastAsia="Arial" w:hAnsi="Arial"/>
          <w:sz w:val="20"/>
          <w:szCs w:val="20"/>
        </w:rPr>
        <w:t xml:space="preserve">Two hard copies to ALDEC Digital Technology Division, Al Manhal Tower, Abu Dhabi.</w:t>
      </w:r>
    </w:p>
    <w:p>
      <w:pPr>
        <w:pStyle w:val="ListParagraph"/>
        <w:numPr>
          <w:ilvl w:val="0"/>
          <w:numId w:val="2"/>
        </w:numPr>
        <w:spacing w:before="40" w:after="40"/>
      </w:pPr>
      <w:r>
        <w:rPr>
          <w:rFonts w:ascii="Arial" w:cs="Arial" w:eastAsia="Arial" w:hAnsi="Arial"/>
          <w:sz w:val="20"/>
          <w:szCs w:val="20"/>
        </w:rPr>
        <w:t xml:space="preserve">Queries via Vendor Portal by 31 January 2025. Responses issued by 10 February 2025.</w:t>
      </w:r>
    </w:p>
    <w:p>
      <w:pPr>
        <w:pStyle w:val="ListParagraph"/>
        <w:numPr>
          <w:ilvl w:val="0"/>
          <w:numId w:val="2"/>
        </w:numPr>
        <w:spacing w:before="40" w:after="40"/>
      </w:pPr>
      <w:r>
        <w:rPr>
          <w:rFonts w:ascii="Arial" w:cs="Arial" w:eastAsia="Arial" w:hAnsi="Arial"/>
          <w:sz w:val="20"/>
          <w:szCs w:val="20"/>
        </w:rPr>
        <w:t xml:space="preserve">Proposals must remain valid for 180 calendar days from the submission deadline.</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03C" w:sz="4" w:space="4"/>
      </w:pBdr>
      <w:tabs>
        <w:tab w:val="right" w:pos="9026"/>
      </w:tabs>
    </w:pPr>
    <w:r>
      <w:rPr>
        <w:rFonts w:ascii="Arial" w:cs="Arial" w:eastAsia="Arial" w:hAnsi="Arial"/>
        <w:color w:val="888888"/>
        <w:sz w:val="16"/>
        <w:szCs w:val="16"/>
      </w:rPr>
      <w:t xml:space="preserve">RFP: ADNOC-DTD-2025-RFP-0147</w:t>
    </w:r>
    <w:r>
      <w:rPr>
        <w:rFonts w:ascii="Arial" w:cs="Arial" w:eastAsia="Arial" w:hAnsi="Arial"/>
        <w:i/>
        <w:iCs/>
        <w:color w:val="AAAAAA"/>
        <w:sz w:val="16"/>
        <w:szCs w:val="16"/>
      </w:rPr>
      <w:t xml:space="preserve">	FICTIONAL — FOR TENDERAI TESTING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03C" w:sz="4" w:space="4"/>
      </w:pBdr>
    </w:pPr>
    <w:r>
      <w:rPr>
        <w:rFonts w:ascii="Arial" w:cs="Arial" w:eastAsia="Arial" w:hAnsi="Arial"/>
        <w:color w:val="888888"/>
        <w:sz w:val="16"/>
        <w:szCs w:val="16"/>
      </w:rPr>
      <w:t xml:space="preserve">ADNOC DIGITAL TECHNOLOGY DIVISION  |  RFP: ADNOC-DTD-2025-RFP-0147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3366"/>
      <w:sz w:val="28"/>
      <w:szCs w:val="28"/>
    </w:rPr>
  </w:style>
  <w:style w:type="paragraph" w:styleId="Heading2">
    <w:name w:val="Heading 2"/>
    <w:basedOn w:val="Normal"/>
    <w:next w:val="Normal"/>
    <w:qFormat/>
    <w:pPr>
      <w:spacing w:before="300" w:after="120"/>
      <w:outlineLvl w:val="1"/>
    </w:pPr>
    <w:rPr>
      <w:rFonts w:ascii="Arial" w:cs="Arial" w:eastAsia="Arial" w:hAnsi="Arial"/>
      <w:b/>
      <w:bCs/>
      <w:color w:val="00703C"/>
      <w:sz w:val="24"/>
      <w:szCs w:val="24"/>
    </w:rPr>
  </w:style>
  <w:style w:type="paragraph" w:styleId="Heading3">
    <w:name w:val="Heading 3"/>
    <w:basedOn w:val="Normal"/>
    <w:next w:val="Normal"/>
    <w:qFormat/>
    <w:pPr>
      <w:spacing w:before="200" w:after="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2026-02-22T20:17:15.151Z</dcterms:created>
  <dcterms:modified xsi:type="dcterms:W3CDTF">2026-02-22T20:17:15.151Z</dcterms:modified>
</cp:coreProperties>
</file>

<file path=docProps/custom.xml><?xml version="1.0" encoding="utf-8"?>
<Properties xmlns="http://schemas.openxmlformats.org/officeDocument/2006/custom-properties" xmlns:vt="http://schemas.openxmlformats.org/officeDocument/2006/docPropsVTypes"/>
</file>