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60"/>
        <w:jc w:val="center"/>
      </w:pPr>
      <w:r>
        <w:rPr>
          <w:rFonts w:ascii="Arial" w:cs="Arial" w:eastAsia="Arial" w:hAnsi="Arial"/>
          <w:b/>
          <w:bCs/>
          <w:color w:val="00703C"/>
          <w:sz w:val="36"/>
          <w:szCs w:val="36"/>
        </w:rPr>
        <w:t xml:space="preserve">AL DHABI ENERGY CORPORATION</w:t>
      </w:r>
    </w:p>
    <w:p>
      <w:pPr>
        <w:spacing w:before="0" w:after="40"/>
        <w:jc w:val="center"/>
      </w:pPr>
      <w:r>
        <w:rPr>
          <w:rFonts w:ascii="Arial" w:cs="Arial" w:eastAsia="Arial" w:hAnsi="Arial"/>
          <w:b/>
          <w:bCs/>
          <w:color w:val="003366"/>
          <w:sz w:val="22"/>
          <w:szCs w:val="22"/>
        </w:rPr>
        <w:t xml:space="preserve">ALDEC Digital Technology Division</w:t>
      </w:r>
    </w:p>
    <w:p>
      <w:pPr>
        <w:spacing w:before="0" w:after="60"/>
        <w:jc w:val="center"/>
      </w:pPr>
      <w:r>
        <w:rPr>
          <w:rFonts w:ascii="Arial" w:cs="Arial" w:eastAsia="Arial" w:hAnsi="Arial"/>
          <w:color w:val="D9D9D9"/>
          <w:sz w:val="18"/>
          <w:szCs w:val="18"/>
        </w:rPr>
        <w:t xml:space="preser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3C" w:sz="4"/>
              <w:left w:val="single" w:color="00703C" w:sz="4"/>
              <w:bottom w:val="single" w:color="00703C" w:sz="4"/>
              <w:right w:val="single" w:color="00703C" w:sz="4"/>
            </w:tcBorders>
            <w:shd w:fill="0078D4" w:val="clear"/>
            <w:tcMar>
              <w:top w:type="dxa" w:w="500"/>
              <w:left w:type="dxa" w:w="500"/>
              <w:bottom w:type="dxa" w:w="500"/>
              <w:right w:type="dxa" w:w="500"/>
            </w:tcMar>
          </w:tcPr>
          <w:p>
            <w:pPr>
              <w:jc w:val="center"/>
            </w:pPr>
            <w:r>
              <w:rPr>
                <w:rFonts w:ascii="Arial" w:cs="Arial" w:eastAsia="Arial" w:hAnsi="Arial"/>
                <w:b/>
                <w:bCs/>
                <w:color w:val="DDDDDD"/>
                <w:sz w:val="22"/>
                <w:szCs w:val="22"/>
              </w:rPr>
              <w:t xml:space="preserve">RESPONSE TO REQUEST FOR PROPOSAL</w:t>
            </w:r>
          </w:p>
          <w:p>
            <w:pPr>
              <w:spacing w:before="160"/>
              <w:jc w:val="center"/>
            </w:pPr>
            <w:r>
              <w:rPr>
                <w:rFonts w:ascii="Arial" w:cs="Arial" w:eastAsia="Arial" w:hAnsi="Arial"/>
                <w:b/>
                <w:bCs/>
                <w:color w:val="FFFFFF"/>
                <w:sz w:val="40"/>
                <w:szCs w:val="40"/>
              </w:rPr>
              <w:t xml:space="preserve">Microsolvex Corporation</w:t>
            </w:r>
          </w:p>
          <w:p>
            <w:pPr>
              <w:spacing w:before="120"/>
              <w:jc w:val="center"/>
            </w:pPr>
            <w:r>
              <w:rPr>
                <w:rFonts w:ascii="Arial" w:cs="Arial" w:eastAsia="Arial" w:hAnsi="Arial"/>
                <w:color w:val="C8A951"/>
                <w:sz w:val="24"/>
                <w:szCs w:val="24"/>
              </w:rPr>
              <w:t xml:space="preserve">SolvexAI Industrial Predictive Maintenance Platform</w:t>
            </w:r>
          </w:p>
        </w:tc>
      </w:tr>
    </w:tbl>
    <w:p>
      <w:pPr>
        <w:spacing w:before="60" w:after="60"/>
      </w:pPr>
      <w:r>
        <w:t xml:space="preserve"/>
      </w:r>
    </w:p>
    <w:p>
      <w:pPr>
        <w:spacing w:before="200" w:after="60"/>
        <w:jc w:val="center"/>
      </w:pPr>
      <w:r>
        <w:rPr>
          <w:rFonts w:ascii="Arial" w:cs="Arial" w:eastAsia="Arial" w:hAnsi="Arial"/>
          <w:b/>
          <w:bCs/>
          <w:color w:val="003366"/>
          <w:sz w:val="22"/>
          <w:szCs w:val="22"/>
        </w:rPr>
        <w:t xml:space="preserve">In Response to: ALDEC-DTD-2025-RFP-0147</w:t>
      </w:r>
    </w:p>
    <w:p>
      <w:pPr>
        <w:spacing w:before="40" w:after="40"/>
        <w:jc w:val="center"/>
      </w:pPr>
      <w:r>
        <w:rPr>
          <w:rFonts w:ascii="Arial" w:cs="Arial" w:eastAsia="Arial" w:hAnsi="Arial"/>
          <w:color w:val="1A1A2E"/>
          <w:sz w:val="20"/>
          <w:szCs w:val="20"/>
        </w:rPr>
        <w:t xml:space="preserve">Submission Date: 25 February 2025  |  Prepared by: Microsolvex Gulf FZ-LLC, Abu Dhabi</w:t>
      </w:r>
    </w:p>
    <w:p>
      <w:pPr>
        <w:spacing w:before="40" w:after="40"/>
        <w:jc w:val="center"/>
      </w:pPr>
      <w:r>
        <w:rPr>
          <w:rFonts w:ascii="Arial" w:cs="Arial" w:eastAsia="Arial" w:hAnsi="Arial"/>
          <w:b/>
          <w:bCs/>
          <w:i/>
          <w:iCs/>
          <w:color w:val="CC0000"/>
          <w:sz w:val="18"/>
          <w:szCs w:val="18"/>
        </w:rPr>
        <w:t xml:space="preserve">CONFIDENTIAL</w:t>
      </w:r>
    </w:p>
    <w:p>
      <w:r>
        <w:br w:type="page"/>
      </w:r>
    </w:p>
    <w:p>
      <w:pPr>
        <w:spacing w:before="60" w:after="80"/>
      </w:pPr>
      <w:r>
        <w:rPr>
          <w:rFonts w:ascii="Arial" w:cs="Arial" w:eastAsia="Arial" w:hAnsi="Arial"/>
          <w:sz w:val="20"/>
          <w:szCs w:val="20"/>
        </w:rPr>
        <w:t xml:space="preserve">This proposal is submitted by Microsolvex Corporation in response to ALDEC Digital Technology Division's Request for Proposal for an AI-Based Predictive Maintenance System for Drilling Equipment (RFP Reference: ALDEC-DTD-2025-RFP-0147). All information contained herein is confidential and intended solely for the evaluation committee of ALDEC DTD.</w:t>
      </w:r>
    </w:p>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1 — EXECUTIVE SUMMARY</w:t>
      </w:r>
    </w:p>
    <w:p>
      <w:pPr>
        <w:spacing w:before="60" w:after="80"/>
      </w:pPr>
      <w:r>
        <w:rPr>
          <w:rFonts w:ascii="Arial" w:cs="Arial" w:eastAsia="Arial" w:hAnsi="Arial"/>
          <w:sz w:val="20"/>
          <w:szCs w:val="20"/>
        </w:rPr>
        <w:t xml:space="preserve">Microsolvex Corporation is pleased to present this proposal for ALDEC's AI-Based Predictive Maintenance (PdM) System for Drilling Equipment. As a globally recognized leader in cloud computing, artificial intelligence, and industrial IoT, Microsolvex brings a uniquely qualified combination of sovereign UAE infrastructure, production-proven oil &amp; gas deployments, and deep ALDEC ecosystem familiarity to this engagement.</w:t>
      </w:r>
    </w:p>
    <w:p>
      <w:pPr>
        <w:spacing w:before="60" w:after="80"/>
      </w:pPr>
      <w:r>
        <w:rPr>
          <w:rFonts w:ascii="Arial" w:cs="Arial" w:eastAsia="Arial" w:hAnsi="Arial"/>
          <w:sz w:val="20"/>
          <w:szCs w:val="20"/>
        </w:rPr>
        <w:t xml:space="preserve">Our proposed solution — the Microsolvex SolvexAI Industrial Predictive Maintenance Platform (AIPM) — is a cloud-native, enterprise-grade system currently in production at six tier-1 oil &amp; gas operators worldwide, including two GCC National Oil Companies. Documented outcomes include a 27% reduction in unplanned equipment shutdowns at Saudi Aramco and a 31% NPT reduction at ALDEC Onshore (ADCO) following the 2023 deployment of Azure-based predictive analytics across wellhead pump assets.</w:t>
      </w:r>
    </w:p>
    <w:p>
      <w:pPr>
        <w:spacing w:before="60" w:after="80"/>
      </w:pPr>
      <w:r>
        <w:rPr>
          <w:rFonts w:ascii="Arial" w:cs="Arial" w:eastAsia="Arial" w:hAnsi="Arial"/>
          <w:sz w:val="20"/>
          <w:szCs w:val="20"/>
        </w:rPr>
        <w:t xml:space="preserve">The AIPM platform leverages Microsolvex Azure IoT Hub, Azure Machine Learning, Azure Digital Twins, and Power BI Embedded — all deployed and operated exclusively within the Azure UAE North sovereign data center located in Abu Dhabi. This ensures full compliance with UAE data residency requirements, ALDEC's data sovereignty policy, and the ADEO Cybersecurity Policy Framework v2.0.</w:t>
      </w:r>
    </w:p>
    <w:p>
      <w:pPr>
        <w:spacing w:before="60" w:after="80"/>
      </w:pPr>
      <w:r>
        <w:rPr>
          <w:rFonts w:ascii="Arial" w:cs="Arial" w:eastAsia="Arial" w:hAnsi="Arial"/>
          <w:sz w:val="20"/>
          <w:szCs w:val="20"/>
        </w:rPr>
        <w:t xml:space="preserve">Microsolvex holds a valid ISO/IEC 27001:2022 certification (Certificate No. MSC-IS-027001-UAE, valid through December 2026) and commits to full compliance across all ten mandatory requirements (M-01 through M-10) as specified in the RFP. A signed Data Processing Agreement (DPA) and CISO compliance declaration for all 18 ADEO control domains are enclosed in Volume 3.</w:t>
      </w:r>
    </w:p>
    <w:p>
      <w:pPr>
        <w:spacing w:before="60" w:after="80"/>
      </w:pPr>
      <w:r>
        <w:rPr>
          <w:rFonts w:ascii="Arial" w:cs="Arial" w:eastAsia="Arial" w:hAnsi="Arial"/>
          <w:sz w:val="20"/>
          <w:szCs w:val="20"/>
        </w:rPr>
        <w:t xml:space="preserve">Our proposed 5-year Total Cost of Ownership is USD 14.2 million, encompassing all licenses, implementation, integration, training, and 36-month SLA-governed managed support. We commit to the full 64-week delivery timeline specified in the RFP, including certification of 50 ALDEC staff, and a comprehensive knowledge transfer program enabling ALDEC to independently extend and manage the platform post-Year 3.</w:t>
      </w:r>
    </w:p>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2 — TECHNICAL PROPOSAL</w:t>
      </w:r>
    </w:p>
    <w:p>
      <w:pPr>
        <w:pStyle w:val="Heading2"/>
        <w:spacing w:before="300" w:after="120"/>
      </w:pPr>
      <w:r>
        <w:rPr>
          <w:rFonts w:ascii="Arial" w:cs="Arial" w:eastAsia="Arial" w:hAnsi="Arial"/>
          <w:b/>
          <w:bCs/>
          <w:color w:val="00703C"/>
          <w:sz w:val="24"/>
          <w:szCs w:val="24"/>
        </w:rPr>
        <w:t xml:space="preserve">2.1 Solution Architecture</w:t>
      </w:r>
    </w:p>
    <w:p>
      <w:pPr>
        <w:spacing w:before="60" w:after="80"/>
      </w:pPr>
      <w:r>
        <w:rPr>
          <w:rFonts w:ascii="Arial" w:cs="Arial" w:eastAsia="Arial" w:hAnsi="Arial"/>
          <w:sz w:val="20"/>
          <w:szCs w:val="20"/>
        </w:rPr>
        <w:t xml:space="preserve">The AIPM platform is structured across four integrated tiers, delivering a continuous data-to-decision pipeline from rig floor to executive dashboard:</w:t>
      </w:r>
    </w:p>
    <w:p>
      <w:pPr>
        <w:pStyle w:val="ListParagraph"/>
        <w:numPr>
          <w:ilvl w:val="0"/>
          <w:numId w:val="2"/>
        </w:numPr>
        <w:spacing w:before="40" w:after="40"/>
      </w:pPr>
      <w:r>
        <w:rPr>
          <w:rFonts w:ascii="Arial" w:cs="Arial" w:eastAsia="Arial" w:hAnsi="Arial"/>
          <w:sz w:val="20"/>
          <w:szCs w:val="20"/>
        </w:rPr>
        <w:t xml:space="preserve">Edge Tier: Azure IoT Edge nodes are deployed on each rig, supporting OPC-UA, MQTT, and Modbus TCP protocol ingestion from drilling equipment. Containerized ML inference models run locally on each edge node, delivering anomaly scores with less than 50ms latency — ensuring real-time detection even during satellite link disruption. IoT Edge nodes are centrally managed via Azure IoT Hub with remote firmware updates and health monitoring.</w:t>
      </w:r>
    </w:p>
    <w:p>
      <w:pPr>
        <w:pStyle w:val="ListParagraph"/>
        <w:numPr>
          <w:ilvl w:val="0"/>
          <w:numId w:val="2"/>
        </w:numPr>
        <w:spacing w:before="40" w:after="40"/>
      </w:pPr>
      <w:r>
        <w:rPr>
          <w:rFonts w:ascii="Arial" w:cs="Arial" w:eastAsia="Arial" w:hAnsi="Arial"/>
          <w:sz w:val="20"/>
          <w:szCs w:val="20"/>
        </w:rPr>
        <w:t xml:space="preserve">Integration Tier: Azure IoT Hub ingests and manages 10,000+ concurrent device data streams. OSIsoft PI Web API 2019 connectors provide sub-second historian data access. SAP Plant Maintenance integration is delivered via Azure Integration Services (Logic Apps with certified SAP Connector), enabling real-time bidirectional PM Notification (PM01/PM02) and Work Order (PM03) creation. SCADA systems (Honifield Experion, Wonderware) are connected via OPC-UA gateway bridge. Azure Active Directory (Microsolvex Entra ID) provides SAML 2.0/OIDC identity federation.</w:t>
      </w:r>
    </w:p>
    <w:p>
      <w:pPr>
        <w:pStyle w:val="ListParagraph"/>
        <w:numPr>
          <w:ilvl w:val="0"/>
          <w:numId w:val="2"/>
        </w:numPr>
        <w:spacing w:before="40" w:after="40"/>
      </w:pPr>
      <w:r>
        <w:rPr>
          <w:rFonts w:ascii="Arial" w:cs="Arial" w:eastAsia="Arial" w:hAnsi="Arial"/>
          <w:sz w:val="20"/>
          <w:szCs w:val="20"/>
        </w:rPr>
        <w:t xml:space="preserve">Analytics &amp; AI Tier: Azure Machine Learning Studio manages the full MLOps lifecycle: model training, validation, deployment, versioning, and automated retraining. Azure Data Explorer (ADX) provides high-throughput time-series storage and query capability optimized for 500+ equipment data streams. Physics-informed feature engineering pipelines are implemented in Azure Databricks, incorporating domain expertise from ALDEC drilling operations. SHAP-based model explainability modules are integrated into the alert workflow to communicate failure drivers to maintenance personnel without requiring ML expertise.</w:t>
      </w:r>
    </w:p>
    <w:p>
      <w:pPr>
        <w:pStyle w:val="ListParagraph"/>
        <w:numPr>
          <w:ilvl w:val="0"/>
          <w:numId w:val="2"/>
        </w:numPr>
        <w:spacing w:before="40" w:after="40"/>
      </w:pPr>
      <w:r>
        <w:rPr>
          <w:rFonts w:ascii="Arial" w:cs="Arial" w:eastAsia="Arial" w:hAnsi="Arial"/>
          <w:sz w:val="20"/>
          <w:szCs w:val="20"/>
        </w:rPr>
        <w:t xml:space="preserve">Presentation Tier: Power BI Embedded delivers role-based dashboards — configurable per role: Drilling Engineer, Maintenance Supervisor, Asset Integrity Manager, and Executive KPI View. The companion mobile application (iOS and Android) is built on Microsolvex Power Apps with offline synchronization for rig-floor use during network degradation. Arabic and English UI language support is included as standard.</w:t>
      </w:r>
    </w:p>
    <w:p>
      <w:pPr>
        <w:spacing w:before="60" w:after="60"/>
      </w:pPr>
      <w:r>
        <w:t xml:space="preserve"/>
      </w:r>
    </w:p>
    <w:p>
      <w:pPr>
        <w:pStyle w:val="Heading2"/>
        <w:spacing w:before="300" w:after="120"/>
      </w:pPr>
      <w:r>
        <w:rPr>
          <w:rFonts w:ascii="Arial" w:cs="Arial" w:eastAsia="Arial" w:hAnsi="Arial"/>
          <w:b/>
          <w:bCs/>
          <w:color w:val="00703C"/>
          <w:sz w:val="24"/>
          <w:szCs w:val="24"/>
        </w:rPr>
        <w:t xml:space="preserve">2.2 AI &amp; Machine Learning Methodology</w:t>
      </w:r>
    </w:p>
    <w:p>
      <w:pPr>
        <w:spacing w:before="60" w:after="80"/>
      </w:pPr>
      <w:r>
        <w:rPr>
          <w:rFonts w:ascii="Arial" w:cs="Arial" w:eastAsia="Arial" w:hAnsi="Arial"/>
          <w:sz w:val="20"/>
          <w:szCs w:val="20"/>
        </w:rPr>
        <w:t xml:space="preserve">Microsolvex's AIPM employs a layered ML approach, combining statistical baselines with deep learning to maximize detection performance across varying data availability scenarios:</w:t>
      </w:r>
    </w:p>
    <w:p>
      <w:pPr>
        <w:pStyle w:val="ListParagraph"/>
        <w:numPr>
          <w:ilvl w:val="0"/>
          <w:numId w:val="2"/>
        </w:numPr>
        <w:spacing w:before="40" w:after="40"/>
      </w:pPr>
      <w:r>
        <w:rPr>
          <w:rFonts w:ascii="Arial" w:cs="Arial" w:eastAsia="Arial" w:hAnsi="Arial"/>
          <w:sz w:val="20"/>
          <w:szCs w:val="20"/>
        </w:rPr>
        <w:t xml:space="preserve">Layer 1 — Statistical Baseline: Multivariate control charts (Hotelling T2, CUSUM) establish normal operating envelopes per equipment unit. Deviations trigger data pre-screening before ML model scoring.</w:t>
      </w:r>
    </w:p>
    <w:p>
      <w:pPr>
        <w:pStyle w:val="ListParagraph"/>
        <w:numPr>
          <w:ilvl w:val="0"/>
          <w:numId w:val="2"/>
        </w:numPr>
        <w:spacing w:before="40" w:after="40"/>
      </w:pPr>
      <w:r>
        <w:rPr>
          <w:rFonts w:ascii="Arial" w:cs="Arial" w:eastAsia="Arial" w:hAnsi="Arial"/>
          <w:sz w:val="20"/>
          <w:szCs w:val="20"/>
        </w:rPr>
        <w:t xml:space="preserve">Layer 2 — Supervised Failure Prediction: Gradient Boosted Tree (XGBoost) and LSTM neural network models are trained on labeled failure histories for each equipment class (top drive, mud pump, BOP, draw works, rotary table). Target performance: &gt;= 85% precision, &gt;= 80% recall at 72-hour prediction horizon. These targets are contractually committed and verified during UAT.</w:t>
      </w:r>
    </w:p>
    <w:p>
      <w:pPr>
        <w:pStyle w:val="ListParagraph"/>
        <w:numPr>
          <w:ilvl w:val="0"/>
          <w:numId w:val="2"/>
        </w:numPr>
        <w:spacing w:before="40" w:after="40"/>
      </w:pPr>
      <w:r>
        <w:rPr>
          <w:rFonts w:ascii="Arial" w:cs="Arial" w:eastAsia="Arial" w:hAnsi="Arial"/>
          <w:sz w:val="20"/>
          <w:szCs w:val="20"/>
        </w:rPr>
        <w:t xml:space="preserve">Layer 3 — Unsupervised Anomaly Detection: Azure ML Isolation Forest and AutoEncoder models detect novel anomaly patterns not represented in training data — critical for new equipment types or evolving failure modes.</w:t>
      </w:r>
    </w:p>
    <w:p>
      <w:pPr>
        <w:pStyle w:val="ListParagraph"/>
        <w:numPr>
          <w:ilvl w:val="0"/>
          <w:numId w:val="2"/>
        </w:numPr>
        <w:spacing w:before="40" w:after="40"/>
      </w:pPr>
      <w:r>
        <w:rPr>
          <w:rFonts w:ascii="Arial" w:cs="Arial" w:eastAsia="Arial" w:hAnsi="Arial"/>
          <w:sz w:val="20"/>
          <w:szCs w:val="20"/>
        </w:rPr>
        <w:t xml:space="preserve">Layer 4 — MLOps &amp; Continuous Improvement: Automated data drift monitoring triggers retraining pipelines when input feature distributions shift by more than a configurable threshold. Model performance is tracked in real-time against precision/recall baselines, with automated rollback if performance degrades below threshold.</w:t>
      </w:r>
    </w:p>
    <w:p>
      <w:pPr>
        <w:spacing w:before="60" w:after="60"/>
      </w:pPr>
      <w:r>
        <w:t xml:space="preserve"/>
      </w:r>
    </w:p>
    <w:p>
      <w:pPr>
        <w:pStyle w:val="Heading2"/>
        <w:spacing w:before="300" w:after="120"/>
      </w:pPr>
      <w:r>
        <w:rPr>
          <w:rFonts w:ascii="Arial" w:cs="Arial" w:eastAsia="Arial" w:hAnsi="Arial"/>
          <w:b/>
          <w:bCs/>
          <w:color w:val="00703C"/>
          <w:sz w:val="24"/>
          <w:szCs w:val="24"/>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Component</w:t>
            </w:r>
          </w:p>
        </w:tc>
        <w:tc>
          <w:tcPr>
            <w:tcW w:type="dxa" w:w="28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Technology</w:t>
            </w:r>
          </w:p>
        </w:tc>
        <w:tc>
          <w:tcPr>
            <w:tcW w:type="dxa" w:w="22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Version / Standard</w:t>
            </w:r>
          </w:p>
        </w:tc>
        <w:tc>
          <w:tcPr>
            <w:tcW w:type="dxa" w:w="216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Hosting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Cloud Platform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Microsolvex Azure UAE North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Sovereign UAE Region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Azure UAE North (Abu Dhabi)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IoT Ingestion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Azure IoT Hub + Azure IoT Edge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v1.4 LTS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UAE North + On-Rig Edge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Stream Processing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Azure Stream Analytics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v1.0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Azure UAE North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ML Platform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Azure Machine Learning (SDK v2)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Current GA</w:t>
            </w:r>
          </w:p>
        </w:tc>
        <w:tc>
          <w:tcPr>
            <w:tcW w:type="dxa" w:w="2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Azure UAE North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Big Data / ETL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Azure Databricks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Runtime 13.3 LTS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Azure UAE North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Time-Series DB</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Azure Data Explorer (ADX)</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Production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Azure UAE North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API Gateway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Azure API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v2 (Consumption Tier)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Azure UAE North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Identity &amp; SSO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Microsolvex Entra ID (Azure AD)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SAML 2.0 / OIDC</w:t>
            </w:r>
          </w:p>
        </w:tc>
        <w:tc>
          <w:tcPr>
            <w:tcW w:type="dxa" w:w="2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Azure UAE North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SAP Integration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Azure Integration Services + SAP Conn.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S/4HANA 2023 Certified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Azure UAE North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Dashboards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Power BI Embedded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v3.0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Azure UAE North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Mobile 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Microsolvex Power Apps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iOS &amp; Android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Azure UAE North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Security / SIEM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Microsolvex Defender for IoT + Sentinel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Current GA</w:t>
            </w:r>
          </w:p>
        </w:tc>
        <w:tc>
          <w:tcPr>
            <w:tcW w:type="dxa" w:w="2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Azure UAE North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Digital Twins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Azure Digital Twins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v2.0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Azure UAE North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Encryption at Rest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AES-256 (FIPS 140-2 Level 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Enforced across all svcs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Encryption Transit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TLS 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Enforced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N/A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Edge Protocols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OPC-UA, MQTT, Modbus TCP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All natively supported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On-Rig IoT Edge</w:t>
            </w:r>
          </w:p>
        </w:tc>
      </w:tr>
    </w:tbl>
    <w:p>
      <w:pPr>
        <w:spacing w:before="60" w:after="60"/>
      </w:pPr>
      <w:r>
        <w:t xml:space="preserve"/>
      </w:r>
    </w:p>
    <w:p>
      <w:pPr>
        <w:pStyle w:val="Heading2"/>
        <w:spacing w:before="300" w:after="120"/>
      </w:pPr>
      <w:r>
        <w:rPr>
          <w:rFonts w:ascii="Arial" w:cs="Arial" w:eastAsia="Arial" w:hAnsi="Arial"/>
          <w:b/>
          <w:bCs/>
          <w:color w:val="00703C"/>
          <w:sz w:val="24"/>
          <w:szCs w:val="24"/>
        </w:rPr>
        <w:t xml:space="preserve">2.4 Edge Computing for Remote Rigs</w:t>
      </w:r>
    </w:p>
    <w:p>
      <w:pPr>
        <w:spacing w:before="60" w:after="80"/>
      </w:pPr>
      <w:r>
        <w:rPr>
          <w:rFonts w:ascii="Arial" w:cs="Arial" w:eastAsia="Arial" w:hAnsi="Arial"/>
          <w:sz w:val="20"/>
          <w:szCs w:val="20"/>
        </w:rPr>
        <w:t xml:space="preserve">ALDEC's rig fleet includes assets operating on intermittent VSAT satellite links with bandwidth as low as 512 Kbps. Microsolvex AIPM addresses this through a dedicated edge inference architecture: each rig is equipped with an Azure IoT Edge gateway running containerized ONNX-format ML inference models. These models operate fully offline, delivering anomaly scores and alert generation locally within 50ms of sensor data arrival. Upon link restoration, edge nodes synchronize data to Azure UAE North for model retraining and historical analytics. This architecture guarantees uninterrupted predictive maintenance coverage regardless of connectivity.</w:t>
      </w:r>
    </w:p>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3 — COMPLIANCE &amp; SECURITY</w:t>
      </w:r>
    </w:p>
    <w:p>
      <w:pPr>
        <w:pStyle w:val="Heading2"/>
        <w:spacing w:before="300" w:after="120"/>
      </w:pPr>
      <w:r>
        <w:rPr>
          <w:rFonts w:ascii="Arial" w:cs="Arial" w:eastAsia="Arial" w:hAnsi="Arial"/>
          <w:b/>
          <w:bCs/>
          <w:color w:val="00703C"/>
          <w:sz w:val="24"/>
          <w:szCs w:val="24"/>
        </w:rPr>
        <w:t xml:space="preserve">3.1 Mandatory Compliance Matrix</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500"/>
        <w:gridCol w:w="860"/>
      </w:tblGrid>
      <w:tr>
        <w:tc>
          <w:tcPr>
            <w:tcW w:type="dxa" w:w="5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Req.</w:t>
            </w:r>
          </w:p>
        </w:tc>
        <w:tc>
          <w:tcPr>
            <w:tcW w:type="dxa" w:w="20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Requirement</w:t>
            </w:r>
          </w:p>
        </w:tc>
        <w:tc>
          <w:tcPr>
            <w:tcW w:type="dxa" w:w="45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Microsolvex Response</w:t>
            </w:r>
          </w:p>
        </w:tc>
        <w:tc>
          <w:tcPr>
            <w:tcW w:type="dxa" w:w="86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Evidence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ISO/IEC 27001:2022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Valid certificate — Azure &amp; delivery practice. Cert No. MSC-IS-027001-UAE. Valid Dec 2026.</w:t>
            </w:r>
          </w:p>
        </w:tc>
        <w:tc>
          <w:tcPr>
            <w:tcW w:type="dxa" w:w="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A</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M-02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UAE Registration</w:t>
            </w:r>
          </w:p>
        </w:tc>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Microsolvex Gulf FZ-LLC. CR No. CN-1234567, Abu Dhabi. UAE office staffed with 22 professionals.</w:t>
            </w:r>
          </w:p>
        </w:tc>
        <w:tc>
          <w:tcPr>
            <w:tcW w:type="dxa" w:w="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B</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3 O&amp;G PdM References (NPT)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Three references: Saudi Aramco (-27% NPT), ADCO/ALDEC Onshore (-31% NPT), Equinor (-23% NPT).</w:t>
            </w:r>
          </w:p>
        </w:tc>
        <w:tc>
          <w:tcPr>
            <w:tcW w:type="dxa" w:w="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C</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M-04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UAE Data Residency + DPA</w:t>
            </w:r>
          </w:p>
        </w:tc>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All data exclusively in Azure UAE North (Abu Dhabi). Signed DPA and data residency letter enclosed.</w:t>
            </w:r>
          </w:p>
        </w:tc>
        <w:tc>
          <w:tcPr>
            <w:tcW w:type="dxa" w:w="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SAP PM Real-Time API Integration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Azure Integration Services + SAP Connector. Bidirectional PM01/PM03. S/4HANA 2023 certified.</w:t>
            </w:r>
          </w:p>
        </w:tc>
        <w:tc>
          <w:tcPr>
            <w:tcW w:type="dxa" w:w="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M-06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OSIsoft PI Historian Integration</w:t>
            </w:r>
          </w:p>
        </w:tc>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Native PI Web API 2019 connector. Production reference at ADCO and Equinor.</w:t>
            </w:r>
          </w:p>
        </w:tc>
        <w:tc>
          <w:tcPr>
            <w:tcW w:type="dxa" w:w="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OPC-UA &amp; MQTT (both required)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Both natively supported by Azure IoT Edge v1.4. Modbus TCP also included.</w:t>
            </w:r>
          </w:p>
        </w:tc>
        <w:tc>
          <w:tcPr>
            <w:tcW w:type="dxa" w:w="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G</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M-08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99.9% Uptime SLA</w:t>
            </w:r>
          </w:p>
        </w:tc>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Azure IoT Hub, AML, ADX each carry 99.9% monthly SLA. Sample SLA enclosed.</w:t>
            </w:r>
          </w:p>
        </w:tc>
        <w:tc>
          <w:tcPr>
            <w:tcW w:type="dxa" w:w="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MFA Enforced + RBAC</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Entra ID MFA mandatory for all users. 12 RBAC roles aligned to ALDEC org structure.</w:t>
            </w:r>
          </w:p>
        </w:tc>
        <w:tc>
          <w:tcPr>
            <w:tcW w:type="dxa" w:w="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I</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UAE PDPL + ADEO (all 18 domains)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Full PDPL compliance. All 18 ADEO control domains addressed. Signed CISO declaration enclosed.</w:t>
            </w:r>
          </w:p>
        </w:tc>
        <w:tc>
          <w:tcPr>
            <w:tcW w:type="dxa" w:w="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J</w:t>
            </w:r>
          </w:p>
        </w:tc>
      </w:tr>
    </w:tbl>
    <w:p>
      <w:pPr>
        <w:spacing w:before="60" w:after="60"/>
      </w:pPr>
      <w:r>
        <w:t xml:space="preserve"/>
      </w:r>
    </w:p>
    <w:p>
      <w:pPr>
        <w:pStyle w:val="Heading2"/>
        <w:spacing w:before="300" w:after="120"/>
      </w:pPr>
      <w:r>
        <w:rPr>
          <w:rFonts w:ascii="Arial" w:cs="Arial" w:eastAsia="Arial" w:hAnsi="Arial"/>
          <w:b/>
          <w:bCs/>
          <w:color w:val="00703C"/>
          <w:sz w:val="24"/>
          <w:szCs w:val="24"/>
        </w:rPr>
        <w:t xml:space="preserve">3.2 IEC 62443 Compliance</w:t>
      </w:r>
    </w:p>
    <w:p>
      <w:pPr>
        <w:spacing w:before="60" w:after="80"/>
      </w:pPr>
      <w:r>
        <w:rPr>
          <w:rFonts w:ascii="Arial" w:cs="Arial" w:eastAsia="Arial" w:hAnsi="Arial"/>
          <w:sz w:val="20"/>
          <w:szCs w:val="20"/>
        </w:rPr>
        <w:t xml:space="preserve">All OT/ICS-connected components of the AIPM platform — specifically the Azure IoT Edge on-rig nodes and OPC-UA/Modbus TCP gateway — comply with IEC 62443-3-3 Security Level 2 requirements. Microsolvex Defender for IoT provides continuous OT network monitoring, passive asset inventory, and anomaly detection for the OT network segment without impacting operational traffic. IEC 62443 compliance assessment report enclosed as Annex K.</w:t>
      </w:r>
    </w:p>
    <w:p>
      <w:pPr>
        <w:spacing w:before="60" w:after="60"/>
      </w:pPr>
      <w:r>
        <w:t xml:space="preserve"/>
      </w:r>
    </w:p>
    <w:p>
      <w:pPr>
        <w:pStyle w:val="Heading2"/>
        <w:spacing w:before="300" w:after="120"/>
      </w:pPr>
      <w:r>
        <w:rPr>
          <w:rFonts w:ascii="Arial" w:cs="Arial" w:eastAsia="Arial" w:hAnsi="Arial"/>
          <w:b/>
          <w:bCs/>
          <w:color w:val="00703C"/>
          <w:sz w:val="24"/>
          <w:szCs w:val="24"/>
        </w:rPr>
        <w:t xml:space="preserve">3.3 Data Security Architecture</w:t>
      </w:r>
    </w:p>
    <w:p>
      <w:pPr>
        <w:pStyle w:val="ListParagraph"/>
        <w:numPr>
          <w:ilvl w:val="0"/>
          <w:numId w:val="2"/>
        </w:numPr>
        <w:spacing w:before="40" w:after="40"/>
      </w:pPr>
      <w:r>
        <w:rPr>
          <w:rFonts w:ascii="Arial" w:cs="Arial" w:eastAsia="Arial" w:hAnsi="Arial"/>
          <w:sz w:val="20"/>
          <w:szCs w:val="20"/>
        </w:rPr>
        <w:t xml:space="preserve">All data at rest encrypted with AES-256 across Azure Storage, ADX, and Azure SQL (FIPS 140-2 Level 2 validated modules).</w:t>
      </w:r>
    </w:p>
    <w:p>
      <w:pPr>
        <w:pStyle w:val="ListParagraph"/>
        <w:numPr>
          <w:ilvl w:val="0"/>
          <w:numId w:val="2"/>
        </w:numPr>
        <w:spacing w:before="40" w:after="40"/>
      </w:pPr>
      <w:r>
        <w:rPr>
          <w:rFonts w:ascii="Arial" w:cs="Arial" w:eastAsia="Arial" w:hAnsi="Arial"/>
          <w:sz w:val="20"/>
          <w:szCs w:val="20"/>
        </w:rPr>
        <w:t xml:space="preserve">All data in transit encrypted with TLS 1.3. TLS 1.2 and below is explicitly disabled at the Azure API Management and IoT Hub level.</w:t>
      </w:r>
    </w:p>
    <w:p>
      <w:pPr>
        <w:pStyle w:val="ListParagraph"/>
        <w:numPr>
          <w:ilvl w:val="0"/>
          <w:numId w:val="2"/>
        </w:numPr>
        <w:spacing w:before="40" w:after="40"/>
      </w:pPr>
      <w:r>
        <w:rPr>
          <w:rFonts w:ascii="Arial" w:cs="Arial" w:eastAsia="Arial" w:hAnsi="Arial"/>
          <w:sz w:val="20"/>
          <w:szCs w:val="20"/>
        </w:rPr>
        <w:t xml:space="preserve">Audit logging enabled across all services with tamper-evident storage in Azure Monitor Log Analytics, retained for 3 years minimum.</w:t>
      </w:r>
    </w:p>
    <w:p>
      <w:pPr>
        <w:pStyle w:val="ListParagraph"/>
        <w:numPr>
          <w:ilvl w:val="0"/>
          <w:numId w:val="2"/>
        </w:numPr>
        <w:spacing w:before="40" w:after="40"/>
      </w:pPr>
      <w:r>
        <w:rPr>
          <w:rFonts w:ascii="Arial" w:cs="Arial" w:eastAsia="Arial" w:hAnsi="Arial"/>
          <w:sz w:val="20"/>
          <w:szCs w:val="20"/>
        </w:rPr>
        <w:t xml:space="preserve">Annual third-party penetration testing conducted by an ALDEC-approved testing firm; results delivered within 30 days.</w:t>
      </w:r>
    </w:p>
    <w:p>
      <w:pPr>
        <w:pStyle w:val="ListParagraph"/>
        <w:numPr>
          <w:ilvl w:val="0"/>
          <w:numId w:val="2"/>
        </w:numPr>
        <w:spacing w:before="40" w:after="40"/>
      </w:pPr>
      <w:r>
        <w:rPr>
          <w:rFonts w:ascii="Arial" w:cs="Arial" w:eastAsia="Arial" w:hAnsi="Arial"/>
          <w:sz w:val="20"/>
          <w:szCs w:val="20"/>
        </w:rPr>
        <w:t xml:space="preserve">Privileged Identity Management (PIM) enforces just-in-time access for administrative operations, eliminating standing privileges.</w:t>
      </w:r>
    </w:p>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4 — VENDOR QUALIFICATIONS &amp; REFERENCES</w:t>
      </w:r>
    </w:p>
    <w:p>
      <w:pPr>
        <w:pStyle w:val="Heading2"/>
        <w:spacing w:before="300" w:after="120"/>
      </w:pPr>
      <w:r>
        <w:rPr>
          <w:rFonts w:ascii="Arial" w:cs="Arial" w:eastAsia="Arial" w:hAnsi="Arial"/>
          <w:b/>
          <w:bCs/>
          <w:color w:val="00703C"/>
          <w:sz w:val="24"/>
          <w:szCs w:val="24"/>
        </w:rPr>
        <w:t xml:space="preserve">4.1 Corporate Profile</w:t>
      </w:r>
    </w:p>
    <w:p>
      <w:pPr>
        <w:spacing w:before="60" w:after="80"/>
      </w:pPr>
      <w:r>
        <w:rPr>
          <w:rFonts w:ascii="Arial" w:cs="Arial" w:eastAsia="Arial" w:hAnsi="Arial"/>
          <w:sz w:val="20"/>
          <w:szCs w:val="20"/>
        </w:rPr>
        <w:t xml:space="preserve">Microsolvex Corporation (NASDAQ: MSFT) is a global technology leader with USD 211 billion in annual revenue (FY2024). Microsolvex's Energy &amp; Resources industry practice has over 2,400 dedicated professionals globally, with the Azure IoT and AI division maintaining specialized oil &amp; gas competency teams in Houston, Aberdeen, and Abu Dhabi. Microsolvex Gulf FZ-LLC has operated in the UAE since 2004 and employs over 500 professionals across the Emirates.</w:t>
      </w:r>
    </w:p>
    <w:p>
      <w:pPr>
        <w:spacing w:before="60" w:after="60"/>
      </w:pPr>
      <w:r>
        <w:t xml:space="preserve"/>
      </w:r>
    </w:p>
    <w:p>
      <w:pPr>
        <w:pStyle w:val="Heading2"/>
        <w:spacing w:before="300" w:after="120"/>
      </w:pPr>
      <w:r>
        <w:rPr>
          <w:rFonts w:ascii="Arial" w:cs="Arial" w:eastAsia="Arial" w:hAnsi="Arial"/>
          <w:b/>
          <w:bCs/>
          <w:color w:val="00703C"/>
          <w:sz w:val="24"/>
          <w:szCs w:val="24"/>
        </w:rPr>
        <w:t xml:space="preserve">4.2 Reference Projects</w:t>
      </w:r>
    </w:p>
    <w:p>
      <w:pPr>
        <w:pStyle w:val="Heading3"/>
        <w:spacing w:before="200" w:after="80"/>
      </w:pPr>
      <w:r>
        <w:rPr>
          <w:rFonts w:ascii="Arial" w:cs="Arial" w:eastAsia="Arial" w:hAnsi="Arial"/>
          <w:b/>
          <w:bCs/>
          <w:color w:val="1A1A2E"/>
          <w:sz w:val="22"/>
          <w:szCs w:val="22"/>
        </w:rPr>
        <w:t xml:space="preserve">Reference 1 — Saudi Arabian Oil Company (Saudi Aramco)</w:t>
      </w:r>
    </w:p>
    <w:p>
      <w:pPr>
        <w:spacing w:before="60" w:after="80"/>
      </w:pPr>
      <w:r>
        <w:rPr>
          <w:rFonts w:ascii="Arial" w:cs="Arial" w:eastAsia="Arial" w:hAnsi="Arial"/>
          <w:sz w:val="20"/>
          <w:szCs w:val="20"/>
        </w:rPr>
        <w:t xml:space="preserve">Scope: Azure AIPM deployment for predictive maintenance of 800 centrifugal compressor and pump units at the Abqaiq Processing Complex and Ras Tanura Refinery.</w:t>
      </w:r>
    </w:p>
    <w:p>
      <w:pPr>
        <w:spacing w:before="60" w:after="80"/>
      </w:pPr>
      <w:r>
        <w:rPr>
          <w:rFonts w:ascii="Arial" w:cs="Arial" w:eastAsia="Arial" w:hAnsi="Arial"/>
          <w:sz w:val="20"/>
          <w:szCs w:val="20"/>
        </w:rPr>
        <w:t xml:space="preserve">Outcome: 27% reduction in unplanned equipment shutdowns over 18 months post-deployment (January 2022 – June 2023). Maintenance cost avoidance of SAR 47 million in Year 1.</w:t>
      </w:r>
    </w:p>
    <w:p>
      <w:pPr>
        <w:spacing w:before="60" w:after="80"/>
      </w:pPr>
      <w:r>
        <w:rPr>
          <w:rFonts w:ascii="Arial" w:cs="Arial" w:eastAsia="Arial" w:hAnsi="Arial"/>
          <w:sz w:val="20"/>
          <w:szCs w:val="20"/>
        </w:rPr>
        <w:t xml:space="preserve">Technologies: Azure IoT Hub, Azure Machine Learning, OSIsoft PI Web API, SAP PM S/4HANA 2021, Power BI Embedded.</w:t>
      </w:r>
    </w:p>
    <w:p>
      <w:pPr>
        <w:spacing w:before="60" w:after="80"/>
      </w:pPr>
      <w:r>
        <w:rPr>
          <w:rFonts w:ascii="Arial" w:cs="Arial" w:eastAsia="Arial" w:hAnsi="Arial"/>
          <w:sz w:val="20"/>
          <w:szCs w:val="20"/>
        </w:rPr>
        <w:t xml:space="preserve">Reference Contact: Ahmed Al-Ghamdi, VP Digital Solutions, Saudi Aramco Digital. Reference letter enclosed as Annex C1.</w:t>
      </w:r>
    </w:p>
    <w:p>
      <w:pPr>
        <w:spacing w:before="60" w:after="60"/>
      </w:pPr>
      <w:r>
        <w:t xml:space="preserve"/>
      </w:r>
    </w:p>
    <w:p>
      <w:pPr>
        <w:pStyle w:val="Heading3"/>
        <w:spacing w:before="200" w:after="80"/>
      </w:pPr>
      <w:r>
        <w:rPr>
          <w:rFonts w:ascii="Arial" w:cs="Arial" w:eastAsia="Arial" w:hAnsi="Arial"/>
          <w:b/>
          <w:bCs/>
          <w:color w:val="1A1A2E"/>
          <w:sz w:val="22"/>
          <w:szCs w:val="22"/>
        </w:rPr>
        <w:t xml:space="preserve">Reference 2 — ADCO / ALDEC Onshore</w:t>
      </w:r>
    </w:p>
    <w:p>
      <w:pPr>
        <w:spacing w:before="60" w:after="80"/>
      </w:pPr>
      <w:r>
        <w:rPr>
          <w:rFonts w:ascii="Arial" w:cs="Arial" w:eastAsia="Arial" w:hAnsi="Arial"/>
          <w:sz w:val="20"/>
          <w:szCs w:val="20"/>
        </w:rPr>
        <w:t xml:space="preserve">Scope: Predictive maintenance system for 120 wellhead ESP pump units across Bu Hasa, Bab, and Shah fields. Full OSIsoft PI 2019 integration within ALDEC network perimeter.</w:t>
      </w:r>
    </w:p>
    <w:p>
      <w:pPr>
        <w:spacing w:before="60" w:after="80"/>
      </w:pPr>
      <w:r>
        <w:rPr>
          <w:rFonts w:ascii="Arial" w:cs="Arial" w:eastAsia="Arial" w:hAnsi="Arial"/>
          <w:sz w:val="20"/>
          <w:szCs w:val="20"/>
        </w:rPr>
        <w:t xml:space="preserve">Outcome: 31% reduction in unplanned NPT attributable to ESP pump failures in the 12 months following Go-Live (Q4 2023). Zero data sovereignty incidents; all data hosted in Azure UAE North.</w:t>
      </w:r>
    </w:p>
    <w:p>
      <w:pPr>
        <w:spacing w:before="60" w:after="80"/>
      </w:pPr>
      <w:r>
        <w:rPr>
          <w:rFonts w:ascii="Arial" w:cs="Arial" w:eastAsia="Arial" w:hAnsi="Arial"/>
          <w:sz w:val="20"/>
          <w:szCs w:val="20"/>
        </w:rPr>
        <w:t xml:space="preserve">Technologies: Azure IoT Edge (on-premise hybrid), Azure ML, Azure Data Explorer, SAP PM ECC 6.0, Power BI Embedded.</w:t>
      </w:r>
    </w:p>
    <w:p>
      <w:pPr>
        <w:spacing w:before="60" w:after="80"/>
      </w:pPr>
      <w:r>
        <w:rPr>
          <w:rFonts w:ascii="Arial" w:cs="Arial" w:eastAsia="Arial" w:hAnsi="Arial"/>
          <w:sz w:val="20"/>
          <w:szCs w:val="20"/>
        </w:rPr>
        <w:t xml:space="preserve">Reference Contact: Khalid Al-Mazrouei, Chief Digital Officer, ALDEC Onshore. Reference letter enclosed as Annex C2.</w:t>
      </w:r>
    </w:p>
    <w:p>
      <w:pPr>
        <w:spacing w:before="60" w:after="60"/>
      </w:pPr>
      <w:r>
        <w:t xml:space="preserve"/>
      </w:r>
    </w:p>
    <w:p>
      <w:pPr>
        <w:pStyle w:val="Heading3"/>
        <w:spacing w:before="200" w:after="80"/>
      </w:pPr>
      <w:r>
        <w:rPr>
          <w:rFonts w:ascii="Arial" w:cs="Arial" w:eastAsia="Arial" w:hAnsi="Arial"/>
          <w:b/>
          <w:bCs/>
          <w:color w:val="1A1A2E"/>
          <w:sz w:val="22"/>
          <w:szCs w:val="22"/>
        </w:rPr>
        <w:t xml:space="preserve">Reference 3 — Equinor ASA (Norway)</w:t>
      </w:r>
    </w:p>
    <w:p>
      <w:pPr>
        <w:spacing w:before="60" w:after="80"/>
      </w:pPr>
      <w:r>
        <w:rPr>
          <w:rFonts w:ascii="Arial" w:cs="Arial" w:eastAsia="Arial" w:hAnsi="Arial"/>
          <w:sz w:val="20"/>
          <w:szCs w:val="20"/>
        </w:rPr>
        <w:t xml:space="preserve">Scope: North Sea drilling equipment PdM system across 8 semi-submersible rigs operating on the Norwegian Continental Shelf.</w:t>
      </w:r>
    </w:p>
    <w:p>
      <w:pPr>
        <w:spacing w:before="60" w:after="80"/>
      </w:pPr>
      <w:r>
        <w:rPr>
          <w:rFonts w:ascii="Arial" w:cs="Arial" w:eastAsia="Arial" w:hAnsi="Arial"/>
          <w:sz w:val="20"/>
          <w:szCs w:val="20"/>
        </w:rPr>
        <w:t xml:space="preserve">Outcome: 23% NPT reduction over 24 months; full integration with Kongsberg ICSS, OSIsoft PI, and SAP PM. GDPR-compliant Azure Norway East deployment.</w:t>
      </w:r>
    </w:p>
    <w:p>
      <w:pPr>
        <w:spacing w:before="60" w:after="80"/>
      </w:pPr>
      <w:r>
        <w:rPr>
          <w:rFonts w:ascii="Arial" w:cs="Arial" w:eastAsia="Arial" w:hAnsi="Arial"/>
          <w:sz w:val="20"/>
          <w:szCs w:val="20"/>
        </w:rPr>
        <w:t xml:space="preserve">Reference Contact: Lars Eriksen, Digital Operations Director, Equinor Upstream. Reference letter enclosed as Annex C3.</w:t>
      </w:r>
    </w:p>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5 — PROJECT PLAN &amp; METHODOLOGY</w:t>
      </w:r>
    </w:p>
    <w:p>
      <w:pPr>
        <w:pStyle w:val="Heading2"/>
        <w:spacing w:before="300" w:after="120"/>
      </w:pPr>
      <w:r>
        <w:rPr>
          <w:rFonts w:ascii="Arial" w:cs="Arial" w:eastAsia="Arial" w:hAnsi="Arial"/>
          <w:b/>
          <w:bCs/>
          <w:color w:val="00703C"/>
          <w:sz w:val="24"/>
          <w:szCs w:val="24"/>
        </w:rPr>
        <w:t xml:space="preserve">5.1 Delivery Methodology</w:t>
      </w:r>
    </w:p>
    <w:p>
      <w:pPr>
        <w:spacing w:before="60" w:after="80"/>
      </w:pPr>
      <w:r>
        <w:rPr>
          <w:rFonts w:ascii="Arial" w:cs="Arial" w:eastAsia="Arial" w:hAnsi="Arial"/>
          <w:sz w:val="20"/>
          <w:szCs w:val="20"/>
        </w:rPr>
        <w:t xml:space="preserve">Microsolvex will deliver the AIPM platform using the Microsolvex Azure Well-Architected Delivery Framework, an agile-hybrid methodology combining two-week sprint cycles with phased milestone gates aligned to the RFP timeline. Each phase includes a Steering Committee review before proceeding, with formal sign-off from ALDEC DTD project sponsors.</w:t>
      </w:r>
    </w:p>
    <w:p>
      <w:pPr>
        <w:spacing w:before="60" w:after="60"/>
      </w:pPr>
      <w:r>
        <w:t xml:space="preserve"/>
      </w:r>
    </w:p>
    <w:p>
      <w:pPr>
        <w:pStyle w:val="Heading2"/>
        <w:spacing w:before="300" w:after="120"/>
      </w:pPr>
      <w:r>
        <w:rPr>
          <w:rFonts w:ascii="Arial" w:cs="Arial" w:eastAsia="Arial" w:hAnsi="Arial"/>
          <w:b/>
          <w:bCs/>
          <w:color w:val="00703C"/>
          <w:sz w:val="24"/>
          <w:szCs w:val="24"/>
        </w:rPr>
        <w:t xml:space="preserve">5.2 Proposed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4160"/>
        <w:gridCol w:w="1900"/>
      </w:tblGrid>
      <w:tr>
        <w:tc>
          <w:tcPr>
            <w:tcW w:type="dxa" w:w="21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Phase</w:t>
            </w:r>
          </w:p>
        </w:tc>
        <w:tc>
          <w:tcPr>
            <w:tcW w:type="dxa" w:w="12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Duration</w:t>
            </w:r>
          </w:p>
        </w:tc>
        <w:tc>
          <w:tcPr>
            <w:tcW w:type="dxa" w:w="416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Key Deliverables</w:t>
            </w:r>
          </w:p>
        </w:tc>
        <w:tc>
          <w:tcPr>
            <w:tcW w:type="dxa" w:w="19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Gate Review</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0: Mobilization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1-2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Project Charter, RACI, Governance, Azure Environment Provisioning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Kick-Off Approval</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1: Architecture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3-8</w:t>
            </w:r>
          </w:p>
        </w:tc>
        <w:tc>
          <w:tcPr>
            <w:tcW w:type="dxa" w:w="4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Architecture Design Document, Security Baseline, Integration Blueprint, HLD/LLD</w:t>
            </w:r>
          </w:p>
        </w:tc>
        <w:tc>
          <w:tcPr>
            <w:tcW w:type="dxa" w:w="1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Architecture Gate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2: Data Pipelines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9-16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IoT Edge on-rig (pilot), PI historian connector, SCADA OPC-UA bridge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Data Readiness Gate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3: ML Development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17-24</w:t>
            </w:r>
          </w:p>
        </w:tc>
        <w:tc>
          <w:tcPr>
            <w:tcW w:type="dxa" w:w="4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5 trained models (Top Drive, Mud Pump, BOP, Draw Works, Rotary Table)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Model Acceptance Gate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4: UAT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25-30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UAT on 2 pilot rigs; precision &gt;= 85%, recall &gt;= 80% — signed-off UAT report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UAT Sign-Off</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5: Fleet Rollout 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31-40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15-rig deployment; SAP PM Go-Live; Power BI dashboard activation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1 Operational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6: Fleet Rollout II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41-52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Remaining 20 rigs; full 500-unit equipment coverage; mobile app production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Full Fleet Operational</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7: KT &amp; Training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53-60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50 ALDEC staff certified; model management workshops; MLOps handover</w:t>
            </w:r>
          </w:p>
        </w:tc>
        <w:tc>
          <w:tcPr>
            <w:tcW w:type="dxa" w:w="1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Training Completion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8: Hypercare &amp; Close-Out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61-64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BAU transition, SLA activation, project close-out documentation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Project Closure</w:t>
            </w:r>
          </w:p>
        </w:tc>
      </w:tr>
    </w:tbl>
    <w:p>
      <w:pPr>
        <w:spacing w:before="60" w:after="60"/>
      </w:pPr>
      <w:r>
        <w:t xml:space="preserve"/>
      </w:r>
    </w:p>
    <w:p>
      <w:pPr>
        <w:pStyle w:val="Heading2"/>
        <w:spacing w:before="300" w:after="120"/>
      </w:pPr>
      <w:r>
        <w:rPr>
          <w:rFonts w:ascii="Arial" w:cs="Arial" w:eastAsia="Arial" w:hAnsi="Arial"/>
          <w:b/>
          <w:bCs/>
          <w:color w:val="00703C"/>
          <w:sz w:val="24"/>
          <w:szCs w:val="24"/>
        </w:rPr>
        <w:t xml:space="preserve">5.3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4360"/>
      </w:tblGrid>
      <w:tr>
        <w:tc>
          <w:tcPr>
            <w:tcW w:type="dxa" w:w="32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Risk</w:t>
            </w:r>
          </w:p>
        </w:tc>
        <w:tc>
          <w:tcPr>
            <w:tcW w:type="dxa" w:w="9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Probability</w:t>
            </w:r>
          </w:p>
        </w:tc>
        <w:tc>
          <w:tcPr>
            <w:tcW w:type="dxa" w:w="9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Impact</w:t>
            </w:r>
          </w:p>
        </w:tc>
        <w:tc>
          <w:tcPr>
            <w:tcW w:type="dxa" w:w="436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Satellite connectivity disruption during rig deployment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Edge inference architecture ensures continuity; offline-first design.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SAP PM integration complexity with legacy ECC</w:t>
            </w:r>
          </w:p>
        </w:tc>
        <w:tc>
          <w:tcPr>
            <w:tcW w:type="dxa" w:w="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Low</w:t>
            </w:r>
          </w:p>
        </w:tc>
        <w:tc>
          <w:tcPr>
            <w:tcW w:type="dxa" w:w="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High</w:t>
            </w:r>
          </w:p>
        </w:tc>
        <w:tc>
          <w:tcPr>
            <w:tcW w:type="dxa" w:w="4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Dedicated SAP-certified integration specialist; reference integration at ADCO.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ML model performance below UAT targets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Pre-training on Equinor and ADCO datasets; 3-week buffer in Phase 3 schedule.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ALDEC network access restrictions for Azure</w:t>
            </w:r>
          </w:p>
        </w:tc>
        <w:tc>
          <w:tcPr>
            <w:tcW w:type="dxa" w:w="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Medium</w:t>
            </w:r>
          </w:p>
        </w:tc>
        <w:tc>
          <w:tcPr>
            <w:tcW w:type="dxa" w:w="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Medium</w:t>
            </w:r>
          </w:p>
        </w:tc>
        <w:tc>
          <w:tcPr>
            <w:tcW w:type="dxa" w:w="4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MPLS/ExpressRoute private connectivity; no public internet traversal required.</w:t>
            </w:r>
          </w:p>
        </w:tc>
      </w:tr>
    </w:tbl>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6 —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160"/>
        <w:gridCol w:w="1600"/>
      </w:tblGrid>
      <w:tr>
        <w:tc>
          <w:tcPr>
            <w:tcW w:type="dxa" w:w="20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Role</w:t>
            </w:r>
          </w:p>
        </w:tc>
        <w:tc>
          <w:tcPr>
            <w:tcW w:type="dxa" w:w="26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Name / Profile</w:t>
            </w:r>
          </w:p>
        </w:tc>
        <w:tc>
          <w:tcPr>
            <w:tcW w:type="dxa" w:w="316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Qualifications</w:t>
            </w:r>
          </w:p>
        </w:tc>
        <w:tc>
          <w:tcPr>
            <w:tcW w:type="dxa" w:w="16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Allocation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Project Director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Senior Director, Microsolvex Energy Practice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PMP, Azure Solutions Architect Expert; 18 yrs O&amp;G digital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100%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Lead ML Architect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Principal Data Scientist, Azure AI</w:t>
            </w:r>
          </w:p>
        </w:tc>
        <w:tc>
          <w:tcPr>
            <w:tcW w:type="dxa" w:w="3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PhD Petroleum Data Science; 12 yrs drilling equipment ML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100%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OT / ICS Integration Lead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Senior IoT Engineer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OPC-UA certified; 15 Experion/Wonderware integrations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100%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SAP Integration Lead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SAP Certified Integration Architect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10+ SAP PM/Azure integrations; QatarEnergy, ADCO references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100%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Cybersecurity Lead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Senior Security Architect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CISSP, ISO 27001 LA, IEC 62443; ex-ALDEC Group consultant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100%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Power BI / UX Lead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Senior BI Engineer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Power BI certified; Arabic UI specialist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100%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UAE Delivery Manager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Microsolvex Gulf Engagement Manager, Abu Dhabi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PMP; 12 yrs UAE technology delivery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100%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Support (BAU)</w:t>
            </w:r>
          </w:p>
        </w:tc>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6-person managed services team, UAE-based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Azure Certified; 24x7 NOC coverage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Post-Go-Live</w:t>
            </w:r>
          </w:p>
        </w:tc>
      </w:tr>
    </w:tbl>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7 — NICE-TO-HAVE FEATURES</w:t>
      </w:r>
    </w:p>
    <w:p>
      <w:pPr>
        <w:pStyle w:val="ListParagraph"/>
        <w:numPr>
          <w:ilvl w:val="0"/>
          <w:numId w:val="2"/>
        </w:numPr>
        <w:spacing w:before="40" w:after="40"/>
      </w:pPr>
      <w:r>
        <w:rPr>
          <w:rFonts w:ascii="Arial" w:cs="Arial" w:eastAsia="Arial" w:hAnsi="Arial"/>
          <w:sz w:val="20"/>
          <w:szCs w:val="20"/>
        </w:rPr>
        <w:t xml:space="preserve">Azure Digital Twins — Full 3D rig topology model correlated with live sensor feeds. Included in base proposal at no additional cost.</w:t>
      </w:r>
    </w:p>
    <w:p>
      <w:pPr>
        <w:pStyle w:val="ListParagraph"/>
        <w:numPr>
          <w:ilvl w:val="0"/>
          <w:numId w:val="2"/>
        </w:numPr>
        <w:spacing w:before="40" w:after="40"/>
      </w:pPr>
      <w:r>
        <w:rPr>
          <w:rFonts w:ascii="Arial" w:cs="Arial" w:eastAsia="Arial" w:hAnsi="Arial"/>
          <w:sz w:val="20"/>
          <w:szCs w:val="20"/>
        </w:rPr>
        <w:t xml:space="preserve">Generative AI (Azure OpenAI Service) — Natural language querying of equipment health status in English and Arabic. Included in base proposal.</w:t>
      </w:r>
    </w:p>
    <w:p>
      <w:pPr>
        <w:pStyle w:val="ListParagraph"/>
        <w:numPr>
          <w:ilvl w:val="0"/>
          <w:numId w:val="2"/>
        </w:numPr>
        <w:spacing w:before="40" w:after="40"/>
      </w:pPr>
      <w:r>
        <w:rPr>
          <w:rFonts w:ascii="Arial" w:cs="Arial" w:eastAsia="Arial" w:hAnsi="Arial"/>
          <w:sz w:val="20"/>
          <w:szCs w:val="20"/>
        </w:rPr>
        <w:t xml:space="preserve">Arabic NLP — Power BI and Power Apps mobile fully support Arabic RTL layout and Arabic language UI.</w:t>
      </w:r>
    </w:p>
    <w:p>
      <w:pPr>
        <w:pStyle w:val="ListParagraph"/>
        <w:numPr>
          <w:ilvl w:val="0"/>
          <w:numId w:val="2"/>
        </w:numPr>
        <w:spacing w:before="40" w:after="40"/>
      </w:pPr>
      <w:r>
        <w:rPr>
          <w:rFonts w:ascii="Arial" w:cs="Arial" w:eastAsia="Arial" w:hAnsi="Arial"/>
          <w:sz w:val="20"/>
          <w:szCs w:val="20"/>
        </w:rPr>
        <w:t xml:space="preserve">Sustainability Dashboard — Azure Monitor integration tracking energy consumption per drill operation, correlated with equipment degradation KPIs.</w:t>
      </w:r>
    </w:p>
    <w:p>
      <w:pPr>
        <w:pStyle w:val="ListParagraph"/>
        <w:numPr>
          <w:ilvl w:val="0"/>
          <w:numId w:val="2"/>
        </w:numPr>
        <w:spacing w:before="40" w:after="40"/>
      </w:pPr>
      <w:r>
        <w:rPr>
          <w:rFonts w:ascii="Arial" w:cs="Arial" w:eastAsia="Arial" w:hAnsi="Arial"/>
          <w:sz w:val="20"/>
          <w:szCs w:val="20"/>
        </w:rPr>
        <w:t xml:space="preserve">Spare Parts Optimization — Azure ML-powered integration with SAP MM for predictive inventory recommendations based on failure probability scores.</w:t>
      </w:r>
    </w:p>
    <w:p>
      <w:pPr>
        <w:pStyle w:val="ListParagraph"/>
        <w:numPr>
          <w:ilvl w:val="0"/>
          <w:numId w:val="2"/>
        </w:numPr>
        <w:spacing w:before="40" w:after="40"/>
      </w:pPr>
      <w:r>
        <w:rPr>
          <w:rFonts w:ascii="Arial" w:cs="Arial" w:eastAsia="Arial" w:hAnsi="Arial"/>
          <w:sz w:val="20"/>
          <w:szCs w:val="20"/>
        </w:rPr>
        <w:t xml:space="preserve">WITSML 2.0 Integration — NOV WellData real-time drilling parameter correlation with equipment health scores. Available as Phase 2 scope addition.</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03C" w:sz="4" w:space="4"/>
      </w:pBdr>
      <w:tabs>
        <w:tab w:val="right" w:pos="9026"/>
      </w:tabs>
    </w:pPr>
    <w:r>
      <w:rPr>
        <w:rFonts w:ascii="Arial" w:cs="Arial" w:eastAsia="Arial" w:hAnsi="Arial"/>
        <w:color w:val="888888"/>
        <w:sz w:val="16"/>
        <w:szCs w:val="16"/>
      </w:rPr>
      <w:t xml:space="preserve">Microsoft Corporation — AI-Based Predictive Maintenance System Proposal</w:t>
    </w:r>
    <w:r>
      <w:rPr>
        <w:rFonts w:ascii="Arial" w:cs="Arial" w:eastAsia="Arial" w:hAnsi="Arial"/>
        <w:i/>
        <w:iCs/>
        <w:color w:val="AAAAAA"/>
        <w:sz w:val="16"/>
        <w:szCs w:val="16"/>
      </w:rPr>
      <w:t xml:space="preserve">	FICTIONAL — FOR TENDERAI TESTING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03C" w:sz="4" w:space="4"/>
      </w:pBdr>
    </w:pPr>
    <w:r>
      <w:rPr>
        <w:rFonts w:ascii="Arial" w:cs="Arial" w:eastAsia="Arial" w:hAnsi="Arial"/>
        <w:color w:val="888888"/>
        <w:sz w:val="16"/>
        <w:szCs w:val="16"/>
      </w:rPr>
      <w:t xml:space="preserve">MICROSOFT CORPORATION  |  Response to ADNOC-DTD-2025-RFP-0147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3366"/>
      <w:sz w:val="28"/>
      <w:szCs w:val="28"/>
    </w:rPr>
  </w:style>
  <w:style w:type="paragraph" w:styleId="Heading2">
    <w:name w:val="Heading 2"/>
    <w:basedOn w:val="Normal"/>
    <w:next w:val="Normal"/>
    <w:qFormat/>
    <w:pPr>
      <w:spacing w:before="300" w:after="120"/>
      <w:outlineLvl w:val="1"/>
    </w:pPr>
    <w:rPr>
      <w:rFonts w:ascii="Arial" w:cs="Arial" w:eastAsia="Arial" w:hAnsi="Arial"/>
      <w:b/>
      <w:bCs/>
      <w:color w:val="00703C"/>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2026-02-22T20:17:15.256Z</dcterms:created>
  <dcterms:modified xsi:type="dcterms:W3CDTF">2026-02-22T20:17:15.256Z</dcterms:modified>
</cp:coreProperties>
</file>

<file path=docProps/custom.xml><?xml version="1.0" encoding="utf-8"?>
<Properties xmlns="http://schemas.openxmlformats.org/officeDocument/2006/custom-properties" xmlns:vt="http://schemas.openxmlformats.org/officeDocument/2006/docPropsVTypes"/>
</file>