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60"/>
        <w:jc w:val="center"/>
      </w:pPr>
      <w:r>
        <w:rPr>
          <w:rFonts w:ascii="Arial" w:cs="Arial" w:eastAsia="Arial" w:hAnsi="Arial"/>
          <w:b/>
          <w:bCs/>
          <w:color w:val="00703C"/>
          <w:sz w:val="36"/>
          <w:szCs w:val="36"/>
        </w:rPr>
        <w:t xml:space="preserve">AL DHABI ENERGY CORPORATION</w:t>
      </w:r>
    </w:p>
    <w:p>
      <w:pPr>
        <w:spacing w:before="0" w:after="40"/>
        <w:jc w:val="center"/>
      </w:pPr>
      <w:r>
        <w:rPr>
          <w:rFonts w:ascii="Arial" w:cs="Arial" w:eastAsia="Arial" w:hAnsi="Arial"/>
          <w:b/>
          <w:bCs/>
          <w:color w:val="003366"/>
          <w:sz w:val="22"/>
          <w:szCs w:val="22"/>
        </w:rPr>
        <w:t xml:space="preserve">ALDEC Digital Technology Division</w:t>
      </w:r>
    </w:p>
    <w:p>
      <w:pPr>
        <w:spacing w:before="0" w:after="60"/>
        <w:jc w:val="center"/>
      </w:pPr>
      <w:r>
        <w:rPr>
          <w:rFonts w:ascii="Arial" w:cs="Arial" w:eastAsia="Arial" w:hAnsi="Arial"/>
          <w:color w:val="D9D9D9"/>
          <w:sz w:val="18"/>
          <w:szCs w:val="18"/>
        </w:rPr>
        <w:t xml:space="preser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3C" w:sz="4"/>
              <w:left w:val="single" w:color="00703C" w:sz="4"/>
              <w:bottom w:val="single" w:color="00703C" w:sz="4"/>
              <w:right w:val="single" w:color="00703C" w:sz="4"/>
            </w:tcBorders>
            <w:shd w:fill="1F4E79" w:val="clear"/>
            <w:tcMar>
              <w:top w:type="dxa" w:w="500"/>
              <w:left w:type="dxa" w:w="500"/>
              <w:bottom w:type="dxa" w:w="500"/>
              <w:right w:type="dxa" w:w="500"/>
            </w:tcMar>
          </w:tcPr>
          <w:p>
            <w:pPr>
              <w:jc w:val="center"/>
            </w:pPr>
            <w:r>
              <w:rPr>
                <w:rFonts w:ascii="Arial" w:cs="Arial" w:eastAsia="Arial" w:hAnsi="Arial"/>
                <w:b/>
                <w:bCs/>
                <w:color w:val="DDDDDD"/>
                <w:sz w:val="22"/>
                <w:szCs w:val="22"/>
              </w:rPr>
              <w:t xml:space="preserve">RESPONSE TO REQUEST FOR PROPOSAL</w:t>
            </w:r>
          </w:p>
          <w:p>
            <w:pPr>
              <w:spacing w:before="160"/>
              <w:jc w:val="center"/>
            </w:pPr>
            <w:r>
              <w:rPr>
                <w:rFonts w:ascii="Arial" w:cs="Arial" w:eastAsia="Arial" w:hAnsi="Arial"/>
                <w:b/>
                <w:bCs/>
                <w:color w:val="FFFFFF"/>
                <w:sz w:val="40"/>
                <w:szCs w:val="40"/>
              </w:rPr>
              <w:t xml:space="preserve">ICM Corporation</w:t>
            </w:r>
          </w:p>
          <w:p>
            <w:pPr>
              <w:spacing w:before="120"/>
              <w:jc w:val="center"/>
            </w:pPr>
            <w:r>
              <w:rPr>
                <w:rFonts w:ascii="Arial" w:cs="Arial" w:eastAsia="Arial" w:hAnsi="Arial"/>
                <w:color w:val="C8A951"/>
                <w:sz w:val="24"/>
                <w:szCs w:val="24"/>
              </w:rPr>
              <w:t xml:space="preserve">ICM Maximus Application Suite — Intelligent Asset Management Platform</w:t>
            </w:r>
          </w:p>
        </w:tc>
      </w:tr>
    </w:tbl>
    <w:p>
      <w:pPr>
        <w:spacing w:before="60" w:after="60"/>
      </w:pPr>
      <w:r>
        <w:t xml:space="preserve"/>
      </w:r>
    </w:p>
    <w:p>
      <w:pPr>
        <w:spacing w:before="200" w:after="60"/>
        <w:jc w:val="center"/>
      </w:pPr>
      <w:r>
        <w:rPr>
          <w:rFonts w:ascii="Arial" w:cs="Arial" w:eastAsia="Arial" w:hAnsi="Arial"/>
          <w:b/>
          <w:bCs/>
          <w:color w:val="003366"/>
          <w:sz w:val="22"/>
          <w:szCs w:val="22"/>
        </w:rPr>
        <w:t xml:space="preserve">In Response to: ALDEC-DTD-2025-RFP-0147</w:t>
      </w:r>
    </w:p>
    <w:p>
      <w:pPr>
        <w:spacing w:before="40" w:after="40"/>
        <w:jc w:val="center"/>
      </w:pPr>
      <w:r>
        <w:rPr>
          <w:rFonts w:ascii="Arial" w:cs="Arial" w:eastAsia="Arial" w:hAnsi="Arial"/>
          <w:color w:val="1A1A2E"/>
          <w:sz w:val="20"/>
          <w:szCs w:val="20"/>
        </w:rPr>
        <w:t xml:space="preserve">Submission Date: 26 February 2025  |  Prepared by: ICM Middle East &amp; Africa FZ-LLC, Abu Dhabi</w:t>
      </w:r>
    </w:p>
    <w:p>
      <w:pPr>
        <w:spacing w:before="40" w:after="40"/>
        <w:jc w:val="center"/>
      </w:pPr>
      <w:r>
        <w:rPr>
          <w:rFonts w:ascii="Arial" w:cs="Arial" w:eastAsia="Arial" w:hAnsi="Arial"/>
          <w:b/>
          <w:bCs/>
          <w:i/>
          <w:iCs/>
          <w:color w:val="CC0000"/>
          <w:sz w:val="18"/>
          <w:szCs w:val="18"/>
        </w:rPr>
        <w:t xml:space="preserve">CONFIDENTIAL</w:t>
      </w:r>
    </w:p>
    <w:p>
      <w:r>
        <w:br w:type="page"/>
      </w:r>
    </w:p>
    <w:p>
      <w:pPr>
        <w:spacing w:before="60" w:after="80"/>
      </w:pPr>
      <w:r>
        <w:rPr>
          <w:rFonts w:ascii="Arial" w:cs="Arial" w:eastAsia="Arial" w:hAnsi="Arial"/>
          <w:sz w:val="20"/>
          <w:szCs w:val="20"/>
        </w:rPr>
        <w:t xml:space="preserve">This proposal is submitted by ICM Corporation in response to ALDEC Digital Technology Division's Request for Proposal for an AI-Based Predictive Maintenance System for Drilling Equipment (RFP Reference: ALDEC-DTD-2025-RFP-0147). All contents are proprietary and confidential to ICM and ALDEC.</w:t>
      </w:r>
    </w:p>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VOLUME 1 — EXECUTIVE SUMMARY</w:t>
      </w:r>
    </w:p>
    <w:p>
      <w:pPr>
        <w:spacing w:before="60" w:after="80"/>
      </w:pPr>
      <w:r>
        <w:rPr>
          <w:rFonts w:ascii="Arial" w:cs="Arial" w:eastAsia="Arial" w:hAnsi="Arial"/>
          <w:sz w:val="20"/>
          <w:szCs w:val="20"/>
        </w:rPr>
        <w:t xml:space="preserve">ICM Corporation is proud to present this proposal for ALDEC's AI-Based Predictive Maintenance System for Drilling Equipment. As the creator of ICM Maximus — the world's most widely deployed Enterprise Asset Management platform — and a pioneer in industrial AI through ICM Watkins, ICM is uniquely positioned to deliver a production-grade PdM system that meets ALDEC's complex operational, integration, and security requirements.</w:t>
      </w:r>
    </w:p>
    <w:p>
      <w:pPr>
        <w:spacing w:before="60" w:after="80"/>
      </w:pPr>
      <w:r>
        <w:rPr>
          <w:rFonts w:ascii="Arial" w:cs="Arial" w:eastAsia="Arial" w:hAnsi="Arial"/>
          <w:sz w:val="20"/>
          <w:szCs w:val="20"/>
        </w:rPr>
        <w:t xml:space="preserve">ICM's proposed solution centers on ICM Maximus Application Suite (MAS) 8.11 integrated with ICM Watkins Studio and ICM Watkins OpenScale, delivering end-to-end asset health monitoring, failure prediction, and maintenance workflow automation across ALDEC's 35-rig drilling fleet. ICM MAS is currently deployed at over 850 oil &amp; gas and industrial facilities globally, managing more than 4.2 million asset records.</w:t>
      </w:r>
    </w:p>
    <w:p>
      <w:pPr>
        <w:spacing w:before="60" w:after="80"/>
      </w:pPr>
      <w:r>
        <w:rPr>
          <w:rFonts w:ascii="Arial" w:cs="Arial" w:eastAsia="Arial" w:hAnsi="Arial"/>
          <w:sz w:val="20"/>
          <w:szCs w:val="20"/>
        </w:rPr>
        <w:t xml:space="preserve">Our GCC credentials are strong: ICM delivered a Maximo MAS predictive maintenance deployment for QatarEnergy's Ras Laffan facilities (2023) achieving a 19% NPT reduction, and a Watson Studio-based AI analytics solution for SABIC Petrochemicals achieving a 22% reduction in maintenance costs across the Jubail complex. Combined with ICM's global O&amp;G center of excellence in Houston and our established Abu Dhabi office, we offer unmatched domain depth for this engagement.</w:t>
      </w:r>
    </w:p>
    <w:p>
      <w:pPr>
        <w:spacing w:before="60" w:after="80"/>
      </w:pPr>
      <w:r>
        <w:rPr>
          <w:rFonts w:ascii="Arial" w:cs="Arial" w:eastAsia="Arial" w:hAnsi="Arial"/>
          <w:sz w:val="20"/>
          <w:szCs w:val="20"/>
        </w:rPr>
        <w:t xml:space="preserve">ICM commits to ISO/IEC 27001:2022 certification coverage, a 99.9% uptime SLA, full MFA and RBAC implementation, and comprehensive SAP PM and OSIsoft PI integration capabilities backed by production references. Our proposed 5-year TCO is USD 11.8 million, reflecting the value of ICM MAS's pre-built O&amp;G accelerators and Watson AI capabilities that significantly reduce custom development effort.</w:t>
      </w:r>
    </w:p>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VOLUME 2 — TECHNICAL PROPOSAL</w:t>
      </w:r>
    </w:p>
    <w:p>
      <w:pPr>
        <w:pStyle w:val="Heading2"/>
        <w:spacing w:before="300" w:after="120"/>
      </w:pPr>
      <w:r>
        <w:rPr>
          <w:rFonts w:ascii="Arial" w:cs="Arial" w:eastAsia="Arial" w:hAnsi="Arial"/>
          <w:b/>
          <w:bCs/>
          <w:color w:val="00703C"/>
          <w:sz w:val="24"/>
          <w:szCs w:val="24"/>
        </w:rPr>
        <w:t xml:space="preserve">2.1 Solution Architecture</w:t>
      </w:r>
    </w:p>
    <w:p>
      <w:pPr>
        <w:pStyle w:val="ListParagraph"/>
        <w:numPr>
          <w:ilvl w:val="0"/>
          <w:numId w:val="2"/>
        </w:numPr>
        <w:spacing w:before="40" w:after="40"/>
      </w:pPr>
      <w:r>
        <w:rPr>
          <w:rFonts w:ascii="Arial" w:cs="Arial" w:eastAsia="Arial" w:hAnsi="Arial"/>
          <w:sz w:val="20"/>
          <w:szCs w:val="20"/>
        </w:rPr>
        <w:t xml:space="preserve">Edge Layer: ICM Edge Application Manager (IEAM) is deployed on each rig as a containerized edge node running on Red Hat OpenShift. IEAM supports OPC-UA, MQTT, and OSIsoft PI Universal Connector for real-time data ingestion directly from drilling equipment sensors and the PI historian. Edge inference models are packaged as ONNX containers and managed centrally via IEAM's GitOps-based deployment pipeline.</w:t>
      </w:r>
    </w:p>
    <w:p>
      <w:pPr>
        <w:pStyle w:val="ListParagraph"/>
        <w:numPr>
          <w:ilvl w:val="0"/>
          <w:numId w:val="2"/>
        </w:numPr>
        <w:spacing w:before="40" w:after="40"/>
      </w:pPr>
      <w:r>
        <w:rPr>
          <w:rFonts w:ascii="Arial" w:cs="Arial" w:eastAsia="Arial" w:hAnsi="Arial"/>
          <w:sz w:val="20"/>
          <w:szCs w:val="20"/>
        </w:rPr>
        <w:t xml:space="preserve">Integration Layer: ICM App Connect Enterprise provides the integration backbone, with a certified SAP RFC connector enabling bidirectional synchronization between MAS and SAP Plant Maintenance. Maximo MAS natively creates SAP PM Notifications (PM01/PM02) and Work Orders (PM03) upon alert threshold breach. OPC-UA and MQTT are supported via IEAM gateway. Modbus TCP is supported through ICM Industrial Edge gateway adapters.</w:t>
      </w:r>
    </w:p>
    <w:p>
      <w:pPr>
        <w:pStyle w:val="ListParagraph"/>
        <w:numPr>
          <w:ilvl w:val="0"/>
          <w:numId w:val="2"/>
        </w:numPr>
        <w:spacing w:before="40" w:after="40"/>
      </w:pPr>
      <w:r>
        <w:rPr>
          <w:rFonts w:ascii="Arial" w:cs="Arial" w:eastAsia="Arial" w:hAnsi="Arial"/>
          <w:sz w:val="20"/>
          <w:szCs w:val="20"/>
        </w:rPr>
        <w:t xml:space="preserve">Analytics &amp; AI Layer: ICM Watkins Studio provides the ML development environment, with ICM AutoAI automating feature engineering and model selection. Time-series models (LSTM, XGBoost, ARIMA) are trained per equipment class. ICM Watkins OpenScale (now ICM OpenPages) provides model drift monitoring, automated retraining triggers, and fairness/explainability dashboards for maintenance personnel. ICM SPSS Modeler is used for statistical process control baselines.</w:t>
      </w:r>
    </w:p>
    <w:p>
      <w:pPr>
        <w:pStyle w:val="ListParagraph"/>
        <w:numPr>
          <w:ilvl w:val="0"/>
          <w:numId w:val="2"/>
        </w:numPr>
        <w:spacing w:before="40" w:after="40"/>
      </w:pPr>
      <w:r>
        <w:rPr>
          <w:rFonts w:ascii="Arial" w:cs="Arial" w:eastAsia="Arial" w:hAnsi="Arial"/>
          <w:sz w:val="20"/>
          <w:szCs w:val="20"/>
        </w:rPr>
        <w:t xml:space="preserve">Presentation Layer: ICM Cognos Analytics 11.2 delivers role-based operational dashboards. ICM Maximus Mobile 8.11 provides the field technician mobile experience on iOS and Android, with offline work order management and augmented reality guidance for maintenance tasks.</w:t>
      </w:r>
    </w:p>
    <w:p>
      <w:pPr>
        <w:spacing w:before="60" w:after="60"/>
      </w:pPr>
      <w:r>
        <w:t xml:space="preserve"/>
      </w:r>
    </w:p>
    <w:p>
      <w:pPr>
        <w:pStyle w:val="Heading2"/>
        <w:spacing w:before="300" w:after="120"/>
      </w:pPr>
      <w:r>
        <w:rPr>
          <w:rFonts w:ascii="Arial" w:cs="Arial" w:eastAsia="Arial" w:hAnsi="Arial"/>
          <w:b/>
          <w:bCs/>
          <w:color w:val="00703C"/>
          <w:sz w:val="24"/>
          <w:szCs w:val="24"/>
        </w:rPr>
        <w:t xml:space="preserve">2.2 AI &amp; ML Methodology</w:t>
      </w:r>
    </w:p>
    <w:p>
      <w:pPr>
        <w:spacing w:before="60" w:after="80"/>
      </w:pPr>
      <w:r>
        <w:rPr>
          <w:rFonts w:ascii="Arial" w:cs="Arial" w:eastAsia="Arial" w:hAnsi="Arial"/>
          <w:sz w:val="20"/>
          <w:szCs w:val="20"/>
        </w:rPr>
        <w:t xml:space="preserve">ICM's approach combines ICM AutoAI's automated model building with domain-specific feature engineering developed by ICM's O&amp;G data science team:</w:t>
      </w:r>
    </w:p>
    <w:p>
      <w:pPr>
        <w:pStyle w:val="ListParagraph"/>
        <w:numPr>
          <w:ilvl w:val="0"/>
          <w:numId w:val="2"/>
        </w:numPr>
        <w:spacing w:before="40" w:after="40"/>
      </w:pPr>
      <w:r>
        <w:rPr>
          <w:rFonts w:ascii="Arial" w:cs="Arial" w:eastAsia="Arial" w:hAnsi="Arial"/>
          <w:sz w:val="20"/>
          <w:szCs w:val="20"/>
        </w:rPr>
        <w:t xml:space="preserve">Automated Feature Engineering: ICM AutoAI analyzes raw sensor signals from top drives, mud pumps, and BOP systems to identify the most predictive features — including vibration RMS, temperature delta, flow rate deviation, and torque spectral density. Feature selection reduces noise and accelerates model convergence.</w:t>
      </w:r>
    </w:p>
    <w:p>
      <w:pPr>
        <w:pStyle w:val="ListParagraph"/>
        <w:numPr>
          <w:ilvl w:val="0"/>
          <w:numId w:val="2"/>
        </w:numPr>
        <w:spacing w:before="40" w:after="40"/>
      </w:pPr>
      <w:r>
        <w:rPr>
          <w:rFonts w:ascii="Arial" w:cs="Arial" w:eastAsia="Arial" w:hAnsi="Arial"/>
          <w:sz w:val="20"/>
          <w:szCs w:val="20"/>
        </w:rPr>
        <w:t xml:space="preserve">Ensemble Modeling: AutoAI generates ensembles of XGBoost, LightGBM, and neural network models, selecting the optimal combination per equipment class. Target performance: &gt;= 83% precision and &gt;= 80% recall at the 72-hour prediction horizon.</w:t>
      </w:r>
    </w:p>
    <w:p>
      <w:pPr>
        <w:pStyle w:val="ListParagraph"/>
        <w:numPr>
          <w:ilvl w:val="0"/>
          <w:numId w:val="2"/>
        </w:numPr>
        <w:spacing w:before="40" w:after="40"/>
      </w:pPr>
      <w:r>
        <w:rPr>
          <w:rFonts w:ascii="Arial" w:cs="Arial" w:eastAsia="Arial" w:hAnsi="Arial"/>
          <w:sz w:val="20"/>
          <w:szCs w:val="20"/>
        </w:rPr>
        <w:t xml:space="preserve">Model Governance: Watson OpenScale tracks model performance in production against baseline metrics, alerting operations teams when performance degrades. All models are versioned in ICM Watkins Studio's model registry with one-click rollback capability.</w:t>
      </w:r>
    </w:p>
    <w:p>
      <w:pPr>
        <w:pStyle w:val="ListParagraph"/>
        <w:numPr>
          <w:ilvl w:val="0"/>
          <w:numId w:val="2"/>
        </w:numPr>
        <w:spacing w:before="40" w:after="40"/>
      </w:pPr>
      <w:r>
        <w:rPr>
          <w:rFonts w:ascii="Arial" w:cs="Arial" w:eastAsia="Arial" w:hAnsi="Arial"/>
          <w:sz w:val="20"/>
          <w:szCs w:val="20"/>
        </w:rPr>
        <w:t xml:space="preserve">Explainability: LIME (Local Interpretable Model-agnostic Explanations) is integrated into the alert notification workflow, providing maintenance engineers with a plain-language summary of the top 3 factors contributing to each predicted failure.</w:t>
      </w:r>
    </w:p>
    <w:p>
      <w:pPr>
        <w:spacing w:before="60" w:after="60"/>
      </w:pPr>
      <w:r>
        <w:t xml:space="preserve"/>
      </w:r>
    </w:p>
    <w:p>
      <w:pPr>
        <w:pStyle w:val="Heading2"/>
        <w:spacing w:before="300" w:after="120"/>
      </w:pPr>
      <w:r>
        <w:rPr>
          <w:rFonts w:ascii="Arial" w:cs="Arial" w:eastAsia="Arial" w:hAnsi="Arial"/>
          <w:b/>
          <w:bCs/>
          <w:color w:val="00703C"/>
          <w:sz w:val="24"/>
          <w:szCs w:val="24"/>
        </w:rPr>
        <w:t xml:space="preserve">2.3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560"/>
      </w:tblGrid>
      <w:tr>
        <w:tc>
          <w:tcPr>
            <w:tcW w:type="dxa" w:w="22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Component</w:t>
            </w:r>
          </w:p>
        </w:tc>
        <w:tc>
          <w:tcPr>
            <w:tcW w:type="dxa" w:w="28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Technology</w:t>
            </w:r>
          </w:p>
        </w:tc>
        <w:tc>
          <w:tcPr>
            <w:tcW w:type="dxa" w:w="18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Version</w:t>
            </w:r>
          </w:p>
        </w:tc>
        <w:tc>
          <w:tcPr>
            <w:tcW w:type="dxa" w:w="256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Deployment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Core EAM Platform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Maximus Application Suite 8.11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8.11.0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Cloud / OpenShift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ML Platform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Watkins Studio + AutoAI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Watson Studio 4.8</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Cloud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Model Governance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Watkins OpenScale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3.5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Cloud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Edge Management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Edge Application Manager (IEAM)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4.5</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On-Rig (OpenShift)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Integration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App Connect Enterprise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12.0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Cloud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Time-Series DB</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Db2 Warehouse (columnar)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11.5</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Cloud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Dashboards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Cognos Analytics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11.2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Cloud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Mobile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Maximus Mobile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8.11</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iOS &amp; Android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OSIsoft 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PI Universal Connector (IEAM)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v2.4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On-Rig Edge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Identity &amp; SSO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Security Verify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SAML 2.0 / OIDC</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Cloud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SIEM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QRadar SIEM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7.5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Cloud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Encryption at Rest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AES-256 (ICM Cloud KMS)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FIPS 140-2 L2</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Cloud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Encryption Transit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TLS 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Enforced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All endpoints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Protocols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OPC-UA, MQTT, Modbus TCP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Native via IEAM</w:t>
            </w:r>
          </w:p>
        </w:tc>
        <w:tc>
          <w:tcPr>
            <w:tcW w:type="dxa" w:w="2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On-Rig Edge</w:t>
            </w:r>
          </w:p>
        </w:tc>
      </w:tr>
    </w:tbl>
    <w:p>
      <w:pPr>
        <w:spacing w:before="60" w:after="60"/>
      </w:pPr>
      <w:r>
        <w:t xml:space="preserve"/>
      </w:r>
    </w:p>
    <w:p>
      <w:pPr>
        <w:pStyle w:val="Heading2"/>
        <w:spacing w:before="300" w:after="120"/>
      </w:pPr>
      <w:r>
        <w:rPr>
          <w:rFonts w:ascii="Arial" w:cs="Arial" w:eastAsia="Arial" w:hAnsi="Arial"/>
          <w:b/>
          <w:bCs/>
          <w:color w:val="00703C"/>
          <w:sz w:val="24"/>
          <w:szCs w:val="24"/>
        </w:rPr>
        <w:t xml:space="preserve">2.4 SAP PM Integration Detail</w:t>
      </w:r>
    </w:p>
    <w:p>
      <w:pPr>
        <w:spacing w:before="60" w:after="80"/>
      </w:pPr>
      <w:r>
        <w:rPr>
          <w:rFonts w:ascii="Arial" w:cs="Arial" w:eastAsia="Arial" w:hAnsi="Arial"/>
          <w:sz w:val="20"/>
          <w:szCs w:val="20"/>
        </w:rPr>
        <w:t xml:space="preserve">ICM App Connect Enterprise provides a certified SAP connector that has been validated against SAP S/4HANA 2023 and SAP ECC 6.0 EhP8. The integration architecture delivers:</w:t>
      </w:r>
    </w:p>
    <w:p>
      <w:pPr>
        <w:pStyle w:val="ListParagraph"/>
        <w:numPr>
          <w:ilvl w:val="0"/>
          <w:numId w:val="2"/>
        </w:numPr>
        <w:spacing w:before="40" w:after="40"/>
      </w:pPr>
      <w:r>
        <w:rPr>
          <w:rFonts w:ascii="Arial" w:cs="Arial" w:eastAsia="Arial" w:hAnsi="Arial"/>
          <w:sz w:val="20"/>
          <w:szCs w:val="20"/>
        </w:rPr>
        <w:t xml:space="preserve">Automated creation of SAP PM Notifications (PM01 — Maintenance Request, PM02 — Activity Report) within 30 seconds of alert threshold breach.</w:t>
      </w:r>
    </w:p>
    <w:p>
      <w:pPr>
        <w:pStyle w:val="ListParagraph"/>
        <w:numPr>
          <w:ilvl w:val="0"/>
          <w:numId w:val="2"/>
        </w:numPr>
        <w:spacing w:before="40" w:after="40"/>
      </w:pPr>
      <w:r>
        <w:rPr>
          <w:rFonts w:ascii="Arial" w:cs="Arial" w:eastAsia="Arial" w:hAnsi="Arial"/>
          <w:sz w:val="20"/>
          <w:szCs w:val="20"/>
        </w:rPr>
        <w:t xml:space="preserve">Automated Work Order (PM03) creation with pre-populated task lists, spare parts recommendations, and estimated labor hours derived from ICM MAS's O&amp;G maintenance templates.</w:t>
      </w:r>
    </w:p>
    <w:p>
      <w:pPr>
        <w:pStyle w:val="ListParagraph"/>
        <w:numPr>
          <w:ilvl w:val="0"/>
          <w:numId w:val="2"/>
        </w:numPr>
        <w:spacing w:before="40" w:after="40"/>
      </w:pPr>
      <w:r>
        <w:rPr>
          <w:rFonts w:ascii="Arial" w:cs="Arial" w:eastAsia="Arial" w:hAnsi="Arial"/>
          <w:sz w:val="20"/>
          <w:szCs w:val="20"/>
        </w:rPr>
        <w:t xml:space="preserve">Bidirectional sync: completed work order data and maintenance history flow back from SAP PM to ICM MAS and Watson Studio for ongoing model training enrichment.</w:t>
      </w:r>
    </w:p>
    <w:p>
      <w:pPr>
        <w:pStyle w:val="ListParagraph"/>
        <w:numPr>
          <w:ilvl w:val="0"/>
          <w:numId w:val="2"/>
        </w:numPr>
        <w:spacing w:before="40" w:after="40"/>
      </w:pPr>
      <w:r>
        <w:rPr>
          <w:rFonts w:ascii="Arial" w:cs="Arial" w:eastAsia="Arial" w:hAnsi="Arial"/>
          <w:sz w:val="20"/>
          <w:szCs w:val="20"/>
        </w:rPr>
        <w:t xml:space="preserve">Technical reference: QatarEnergy Ras Laffan deployment — ICM App Connect to SAP S/4HANA 2021 — processing 4,200 PM notifications per month in production (Annex F).</w:t>
      </w:r>
    </w:p>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VOLUME 3 — COMPLIANCE &amp; SECURITY</w:t>
      </w:r>
    </w:p>
    <w:p>
      <w:pPr>
        <w:pStyle w:val="Heading2"/>
        <w:spacing w:before="300" w:after="120"/>
      </w:pPr>
      <w:r>
        <w:rPr>
          <w:rFonts w:ascii="Arial" w:cs="Arial" w:eastAsia="Arial" w:hAnsi="Arial"/>
          <w:b/>
          <w:bCs/>
          <w:color w:val="00703C"/>
          <w:sz w:val="24"/>
          <w:szCs w:val="24"/>
        </w:rPr>
        <w:t xml:space="preserve">3.1 Mandatory Compliance Matrix</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500"/>
        <w:gridCol w:w="860"/>
      </w:tblGrid>
      <w:tr>
        <w:tc>
          <w:tcPr>
            <w:tcW w:type="dxa" w:w="5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Req.</w:t>
            </w:r>
          </w:p>
        </w:tc>
        <w:tc>
          <w:tcPr>
            <w:tcW w:type="dxa" w:w="20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Requirement</w:t>
            </w:r>
          </w:p>
        </w:tc>
        <w:tc>
          <w:tcPr>
            <w:tcW w:type="dxa" w:w="45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ICM Response</w:t>
            </w:r>
          </w:p>
        </w:tc>
        <w:tc>
          <w:tcPr>
            <w:tcW w:type="dxa" w:w="86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Evidence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ISO/IEC 27001:2022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Technology Services holds valid cert. No. ICM-ISO27001-2024-TS. Valid Nov 2026.</w:t>
            </w:r>
          </w:p>
        </w:tc>
        <w:tc>
          <w:tcPr>
            <w:tcW w:type="dxa" w:w="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A</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M-02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UAE Registration</w:t>
            </w:r>
          </w:p>
        </w:tc>
        <w:tc>
          <w:tcPr>
            <w:tcW w:type="dxa" w:w="4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Middle East &amp; Africa FZ-LLC. CR No. CN-7654321, Dubai Internet City. Abu Dhabi office staffed.</w:t>
            </w:r>
          </w:p>
        </w:tc>
        <w:tc>
          <w:tcPr>
            <w:tcW w:type="dxa" w:w="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B</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3 O&amp;G PdM References (NPT)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QatarEnergy (-19% NPT), SABIC (-22% maintenance cost), Repsol S.A. (-17% NPT). Letters enclosed.</w:t>
            </w:r>
          </w:p>
        </w:tc>
        <w:tc>
          <w:tcPr>
            <w:tcW w:type="dxa" w:w="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C</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M-04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UAE Data Residency + DPA</w:t>
            </w:r>
          </w:p>
        </w:tc>
        <w:tc>
          <w:tcPr>
            <w:tcW w:type="dxa" w:w="4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Cloud infrastructure with data protection obligations per ICM standard Data Processing Addendum.</w:t>
            </w:r>
          </w:p>
        </w:tc>
        <w:tc>
          <w:tcPr>
            <w:tcW w:type="dxa" w:w="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SAP PM Real-Time API Integration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App Connect Enterprise with certified SAP RFC connector. QatarEnergy production reference.</w:t>
            </w:r>
          </w:p>
        </w:tc>
        <w:tc>
          <w:tcPr>
            <w:tcW w:type="dxa" w:w="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M-06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OSIsoft PI Historian Integration</w:t>
            </w:r>
          </w:p>
        </w:tc>
        <w:tc>
          <w:tcPr>
            <w:tcW w:type="dxa" w:w="4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PI Universal Connector v2.4 deployed via IEAM. SABIC and QatarEnergy production references.</w:t>
            </w:r>
          </w:p>
        </w:tc>
        <w:tc>
          <w:tcPr>
            <w:tcW w:type="dxa" w:w="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F</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OPC-UA &amp; MQTT (both required)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Both supported natively via ICM IEAM 4.5. Modbus TCP also supported. Datasheet enclosed.</w:t>
            </w:r>
          </w:p>
        </w:tc>
        <w:tc>
          <w:tcPr>
            <w:tcW w:type="dxa" w:w="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G</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M-08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99.9% Uptime SLA</w:t>
            </w:r>
          </w:p>
        </w:tc>
        <w:tc>
          <w:tcPr>
            <w:tcW w:type="dxa" w:w="4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Cloud SLA: 99.9% monthly uptime for Maximo MAS. Sample SLA enclosed.</w:t>
            </w:r>
          </w:p>
        </w:tc>
        <w:tc>
          <w:tcPr>
            <w:tcW w:type="dxa" w:w="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MFA Enforced + RBAC</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Security Verify enforces MFA for all user sessions. MAS RBAC supports 20+ configurable roles.</w:t>
            </w:r>
          </w:p>
        </w:tc>
        <w:tc>
          <w:tcPr>
            <w:tcW w:type="dxa" w:w="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I</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UAE PDPL + ADEO (all 18 domains)</w:t>
            </w:r>
          </w:p>
        </w:tc>
        <w:tc>
          <w:tcPr>
            <w:tcW w:type="dxa" w:w="4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acknowledges PDPL and ADEO Cybersecurity Policy Framework requirements. ICM's global security standards encompass data protection obligations consistent with UAE regulatory requirements. ICM's security governance framework covers the relevant control domains.</w:t>
            </w:r>
          </w:p>
        </w:tc>
        <w:tc>
          <w:tcPr>
            <w:tcW w:type="dxa" w:w="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J</w:t>
            </w:r>
          </w:p>
        </w:tc>
      </w:tr>
    </w:tbl>
    <w:p>
      <w:pPr>
        <w:spacing w:before="60" w:after="60"/>
      </w:pPr>
      <w:r>
        <w:t xml:space="preserve"/>
      </w:r>
    </w:p>
    <w:p>
      <w:pPr>
        <w:pStyle w:val="Heading2"/>
        <w:spacing w:before="300" w:after="120"/>
      </w:pPr>
      <w:r>
        <w:rPr>
          <w:rFonts w:ascii="Arial" w:cs="Arial" w:eastAsia="Arial" w:hAnsi="Arial"/>
          <w:b/>
          <w:bCs/>
          <w:color w:val="00703C"/>
          <w:sz w:val="24"/>
          <w:szCs w:val="24"/>
        </w:rPr>
        <w:t xml:space="preserve">3.2 Security Architecture</w:t>
      </w:r>
    </w:p>
    <w:p>
      <w:pPr>
        <w:pStyle w:val="ListParagraph"/>
        <w:numPr>
          <w:ilvl w:val="0"/>
          <w:numId w:val="2"/>
        </w:numPr>
        <w:spacing w:before="40" w:after="40"/>
      </w:pPr>
      <w:r>
        <w:rPr>
          <w:rFonts w:ascii="Arial" w:cs="Arial" w:eastAsia="Arial" w:hAnsi="Arial"/>
          <w:sz w:val="20"/>
          <w:szCs w:val="20"/>
        </w:rPr>
        <w:t xml:space="preserve">ICM Security Verify provides centralized identity management with mandatory MFA (TOTP or FIDO2) for all platform users. Integration with Microsolvex Azure AD via SAML 2.0 federation is supported.</w:t>
      </w:r>
    </w:p>
    <w:p>
      <w:pPr>
        <w:pStyle w:val="ListParagraph"/>
        <w:numPr>
          <w:ilvl w:val="0"/>
          <w:numId w:val="2"/>
        </w:numPr>
        <w:spacing w:before="40" w:after="40"/>
      </w:pPr>
      <w:r>
        <w:rPr>
          <w:rFonts w:ascii="Arial" w:cs="Arial" w:eastAsia="Arial" w:hAnsi="Arial"/>
          <w:sz w:val="20"/>
          <w:szCs w:val="20"/>
        </w:rPr>
        <w:t xml:space="preserve">ICM QRadar SIEM provides 24x7 security event correlation and alerting across the AIPM platform. Integration with ALDEC's SOC is available via syslog forwarding.</w:t>
      </w:r>
    </w:p>
    <w:p>
      <w:pPr>
        <w:pStyle w:val="ListParagraph"/>
        <w:numPr>
          <w:ilvl w:val="0"/>
          <w:numId w:val="2"/>
        </w:numPr>
        <w:spacing w:before="40" w:after="40"/>
      </w:pPr>
      <w:r>
        <w:rPr>
          <w:rFonts w:ascii="Arial" w:cs="Arial" w:eastAsia="Arial" w:hAnsi="Arial"/>
          <w:sz w:val="20"/>
          <w:szCs w:val="20"/>
        </w:rPr>
        <w:t xml:space="preserve">All data at rest encrypted with AES-256 using ICM Cloud Key Protect (FIPS 140-2 Level 2). All data in transit enforces TLS 1.3.</w:t>
      </w:r>
    </w:p>
    <w:p>
      <w:pPr>
        <w:pStyle w:val="ListParagraph"/>
        <w:numPr>
          <w:ilvl w:val="0"/>
          <w:numId w:val="2"/>
        </w:numPr>
        <w:spacing w:before="40" w:after="40"/>
      </w:pPr>
      <w:r>
        <w:rPr>
          <w:rFonts w:ascii="Arial" w:cs="Arial" w:eastAsia="Arial" w:hAnsi="Arial"/>
          <w:sz w:val="20"/>
          <w:szCs w:val="20"/>
        </w:rPr>
        <w:t xml:space="preserve">Penetration testing conducted annually by ICM X-Force Red team. Results reported within 30 days of test completion.</w:t>
      </w:r>
    </w:p>
    <w:p>
      <w:pPr>
        <w:pStyle w:val="ListParagraph"/>
        <w:numPr>
          <w:ilvl w:val="0"/>
          <w:numId w:val="2"/>
        </w:numPr>
        <w:spacing w:before="40" w:after="40"/>
      </w:pPr>
      <w:r>
        <w:rPr>
          <w:rFonts w:ascii="Arial" w:cs="Arial" w:eastAsia="Arial" w:hAnsi="Arial"/>
          <w:sz w:val="20"/>
          <w:szCs w:val="20"/>
        </w:rPr>
        <w:t xml:space="preserve">ICM's global security operations follow ISO/IEC 27001:2022 controls across all cloud delivery functions.</w:t>
      </w:r>
    </w:p>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VOLUME 4 — VENDOR QUALIFICATIONS &amp; REFERENCES</w:t>
      </w:r>
    </w:p>
    <w:p>
      <w:pPr>
        <w:pStyle w:val="Heading2"/>
        <w:spacing w:before="300" w:after="120"/>
      </w:pPr>
      <w:r>
        <w:rPr>
          <w:rFonts w:ascii="Arial" w:cs="Arial" w:eastAsia="Arial" w:hAnsi="Arial"/>
          <w:b/>
          <w:bCs/>
          <w:color w:val="00703C"/>
          <w:sz w:val="24"/>
          <w:szCs w:val="24"/>
        </w:rPr>
        <w:t xml:space="preserve">4.1 Corporate Profile</w:t>
      </w:r>
    </w:p>
    <w:p>
      <w:pPr>
        <w:spacing w:before="60" w:after="80"/>
      </w:pPr>
      <w:r>
        <w:rPr>
          <w:rFonts w:ascii="Arial" w:cs="Arial" w:eastAsia="Arial" w:hAnsi="Arial"/>
          <w:sz w:val="20"/>
          <w:szCs w:val="20"/>
        </w:rPr>
        <w:t xml:space="preserve">ICM Corporation (NYSE: ICM) is a global technology and consulting company with USD 61.9 billion in revenue (FY2024). ICM's Industrial &amp; Energy division serves over 400 oil &amp; gas, petrochemical, and utility clients globally. ICM has operated in the UAE since 1956 and maintains a strategic partnership with the Abu Dhabi government through multiple digital transformation programs.</w:t>
      </w:r>
    </w:p>
    <w:p>
      <w:pPr>
        <w:spacing w:before="60" w:after="60"/>
      </w:pPr>
      <w:r>
        <w:t xml:space="preserve"/>
      </w:r>
    </w:p>
    <w:p>
      <w:pPr>
        <w:pStyle w:val="Heading2"/>
        <w:spacing w:before="300" w:after="120"/>
      </w:pPr>
      <w:r>
        <w:rPr>
          <w:rFonts w:ascii="Arial" w:cs="Arial" w:eastAsia="Arial" w:hAnsi="Arial"/>
          <w:b/>
          <w:bCs/>
          <w:color w:val="00703C"/>
          <w:sz w:val="24"/>
          <w:szCs w:val="24"/>
        </w:rPr>
        <w:t xml:space="preserve">4.2 Reference Projects</w:t>
      </w:r>
    </w:p>
    <w:p>
      <w:pPr>
        <w:pStyle w:val="Heading3"/>
        <w:spacing w:before="200" w:after="80"/>
      </w:pPr>
      <w:r>
        <w:rPr>
          <w:rFonts w:ascii="Arial" w:cs="Arial" w:eastAsia="Arial" w:hAnsi="Arial"/>
          <w:b/>
          <w:bCs/>
          <w:color w:val="1A1A2E"/>
          <w:sz w:val="22"/>
          <w:szCs w:val="22"/>
        </w:rPr>
        <w:t xml:space="preserve">Reference 1 — QatarEnergy, Ras Laffan</w:t>
      </w:r>
    </w:p>
    <w:p>
      <w:pPr>
        <w:spacing w:before="60" w:after="80"/>
      </w:pPr>
      <w:r>
        <w:rPr>
          <w:rFonts w:ascii="Arial" w:cs="Arial" w:eastAsia="Arial" w:hAnsi="Arial"/>
          <w:sz w:val="20"/>
          <w:szCs w:val="20"/>
        </w:rPr>
        <w:t xml:space="preserve">Scope: ICM Maximus MAS 8.9 predictive maintenance deployment for 450 centrifugal pump and compressor units at Ras Laffan Industrial City.</w:t>
      </w:r>
    </w:p>
    <w:p>
      <w:pPr>
        <w:spacing w:before="60" w:after="80"/>
      </w:pPr>
      <w:r>
        <w:rPr>
          <w:rFonts w:ascii="Arial" w:cs="Arial" w:eastAsia="Arial" w:hAnsi="Arial"/>
          <w:sz w:val="20"/>
          <w:szCs w:val="20"/>
        </w:rPr>
        <w:t xml:space="preserve">Outcome: 19% reduction in equipment NPT over 24 months; SAP S/4HANA 2021 real-time integration processing 4,200 PM notifications per month.</w:t>
      </w:r>
    </w:p>
    <w:p>
      <w:pPr>
        <w:spacing w:before="60" w:after="80"/>
      </w:pPr>
      <w:r>
        <w:rPr>
          <w:rFonts w:ascii="Arial" w:cs="Arial" w:eastAsia="Arial" w:hAnsi="Arial"/>
          <w:sz w:val="20"/>
          <w:szCs w:val="20"/>
        </w:rPr>
        <w:t xml:space="preserve">Reference Contact: Mohammed Al-Kaabi, Asset Management Director, QatarEnergy. Reference letter: Annex C1.</w:t>
      </w:r>
    </w:p>
    <w:p>
      <w:pPr>
        <w:spacing w:before="60" w:after="60"/>
      </w:pPr>
      <w:r>
        <w:t xml:space="preserve"/>
      </w:r>
    </w:p>
    <w:p>
      <w:pPr>
        <w:pStyle w:val="Heading3"/>
        <w:spacing w:before="200" w:after="80"/>
      </w:pPr>
      <w:r>
        <w:rPr>
          <w:rFonts w:ascii="Arial" w:cs="Arial" w:eastAsia="Arial" w:hAnsi="Arial"/>
          <w:b/>
          <w:bCs/>
          <w:color w:val="1A1A2E"/>
          <w:sz w:val="22"/>
          <w:szCs w:val="22"/>
        </w:rPr>
        <w:t xml:space="preserve">Reference 2 — SABIC Petrochemicals, Jubail</w:t>
      </w:r>
    </w:p>
    <w:p>
      <w:pPr>
        <w:spacing w:before="60" w:after="80"/>
      </w:pPr>
      <w:r>
        <w:rPr>
          <w:rFonts w:ascii="Arial" w:cs="Arial" w:eastAsia="Arial" w:hAnsi="Arial"/>
          <w:sz w:val="20"/>
          <w:szCs w:val="20"/>
        </w:rPr>
        <w:t xml:space="preserve">Scope: ICM Watkins Studio-based AI predictive maintenance solution for the compressor and rotating equipment fleet at Jubail Industrial Complex, Saudi Arabia.</w:t>
      </w:r>
    </w:p>
    <w:p>
      <w:pPr>
        <w:spacing w:before="60" w:after="80"/>
      </w:pPr>
      <w:r>
        <w:rPr>
          <w:rFonts w:ascii="Arial" w:cs="Arial" w:eastAsia="Arial" w:hAnsi="Arial"/>
          <w:sz w:val="20"/>
          <w:szCs w:val="20"/>
        </w:rPr>
        <w:t xml:space="preserve">Outcome: 22% reduction in maintenance costs over 18 months; OSIsoft PI 2019 integration in production; SPSS Modeler baseline models in continuous operation.</w:t>
      </w:r>
    </w:p>
    <w:p>
      <w:pPr>
        <w:spacing w:before="60" w:after="80"/>
      </w:pPr>
      <w:r>
        <w:rPr>
          <w:rFonts w:ascii="Arial" w:cs="Arial" w:eastAsia="Arial" w:hAnsi="Arial"/>
          <w:sz w:val="20"/>
          <w:szCs w:val="20"/>
        </w:rPr>
        <w:t xml:space="preserve">Reference Contact: Faisal Al-Dossary, VP Reliability Engineering, SABIC Petrochemicals. Reference letter: Annex C2.</w:t>
      </w:r>
    </w:p>
    <w:p>
      <w:pPr>
        <w:spacing w:before="60" w:after="60"/>
      </w:pPr>
      <w:r>
        <w:t xml:space="preserve"/>
      </w:r>
    </w:p>
    <w:p>
      <w:pPr>
        <w:pStyle w:val="Heading3"/>
        <w:spacing w:before="200" w:after="80"/>
      </w:pPr>
      <w:r>
        <w:rPr>
          <w:rFonts w:ascii="Arial" w:cs="Arial" w:eastAsia="Arial" w:hAnsi="Arial"/>
          <w:b/>
          <w:bCs/>
          <w:color w:val="1A1A2E"/>
          <w:sz w:val="22"/>
          <w:szCs w:val="22"/>
        </w:rPr>
        <w:t xml:space="preserve">Reference 3 — Repsol S.A., Spain &amp; Libya</w:t>
      </w:r>
    </w:p>
    <w:p>
      <w:pPr>
        <w:spacing w:before="60" w:after="80"/>
      </w:pPr>
      <w:r>
        <w:rPr>
          <w:rFonts w:ascii="Arial" w:cs="Arial" w:eastAsia="Arial" w:hAnsi="Arial"/>
          <w:sz w:val="20"/>
          <w:szCs w:val="20"/>
        </w:rPr>
        <w:t xml:space="preserve">Scope: Maximo MAS plus Watson Studio for upstream drilling equipment PdM across onshore operations in Spain and the Murzuq Basin, Libya.</w:t>
      </w:r>
    </w:p>
    <w:p>
      <w:pPr>
        <w:spacing w:before="60" w:after="80"/>
      </w:pPr>
      <w:r>
        <w:rPr>
          <w:rFonts w:ascii="Arial" w:cs="Arial" w:eastAsia="Arial" w:hAnsi="Arial"/>
          <w:sz w:val="20"/>
          <w:szCs w:val="20"/>
        </w:rPr>
        <w:t xml:space="preserve">Outcome: 17% NPT improvement; IEC 62443 security assessment completed by ICM X-Force for OT/SCADA-connected components.</w:t>
      </w:r>
    </w:p>
    <w:p>
      <w:pPr>
        <w:spacing w:before="60" w:after="80"/>
      </w:pPr>
      <w:r>
        <w:rPr>
          <w:rFonts w:ascii="Arial" w:cs="Arial" w:eastAsia="Arial" w:hAnsi="Arial"/>
          <w:sz w:val="20"/>
          <w:szCs w:val="20"/>
        </w:rPr>
        <w:t xml:space="preserve">Reference Contact: Carlos Gomez, Digital Operations Manager, Repsol Upstream. Reference letter: Annex C3.</w:t>
      </w:r>
    </w:p>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VOLUME 5 — PROJECT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Phase</w:t>
            </w:r>
          </w:p>
        </w:tc>
        <w:tc>
          <w:tcPr>
            <w:tcW w:type="dxa" w:w="14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Duration</w:t>
            </w:r>
          </w:p>
        </w:tc>
        <w:tc>
          <w:tcPr>
            <w:tcW w:type="dxa" w:w="596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Key Deliverables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0: Kick-Off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1-2</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Delivery Framework setup, Project Charter, RACI, environment provisioning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1: Architecture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3-8</w:t>
            </w:r>
          </w:p>
        </w:tc>
        <w:tc>
          <w:tcPr>
            <w:tcW w:type="dxa" w:w="5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HLD, LLD, Integration Design Document, Security Architecture 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2: Data Pipelines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9-18</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IEAM on-rig, PI connector, SCADA OPC-UA, App Connect to SAP PM (pilot rig)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3: ML Development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19-26</w:t>
            </w:r>
          </w:p>
        </w:tc>
        <w:tc>
          <w:tcPr>
            <w:tcW w:type="dxa" w:w="5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AutoAI model training: top drive, mud pump, BOP, draw works — 4 equipment classes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4: UAT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27-32</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UAT on 2 pilot rigs; precision and recall acceptance testing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5-6: Fleet Rollout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33-56</w:t>
            </w:r>
          </w:p>
        </w:tc>
        <w:tc>
          <w:tcPr>
            <w:tcW w:type="dxa" w:w="5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35-rig deployment in 2 phases; full SAP PM production integration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7: Training &amp; KT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57-64</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Operator training program (40 staff), ML management workshops, BAU transition</w:t>
            </w:r>
          </w:p>
        </w:tc>
      </w:tr>
    </w:tbl>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VOLUME 6 —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60"/>
        <w:gridCol w:w="1900"/>
      </w:tblGrid>
      <w:tr>
        <w:tc>
          <w:tcPr>
            <w:tcW w:type="dxa" w:w="22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Role</w:t>
            </w:r>
          </w:p>
        </w:tc>
        <w:tc>
          <w:tcPr>
            <w:tcW w:type="dxa" w:w="526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Experience</w:t>
            </w:r>
          </w:p>
        </w:tc>
        <w:tc>
          <w:tcPr>
            <w:tcW w:type="dxa" w:w="19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Allocation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Project Director</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14 yrs enterprise asset management; Maximo at SABIC and QatarEnergy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100%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Lead Data Scientist</w:t>
            </w:r>
          </w:p>
        </w:tc>
        <w:tc>
          <w:tcPr>
            <w:tcW w:type="dxa" w:w="52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AI Expert; Watson AutoAI specialist; time-series failure prediction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SAP Integration Lead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SAP Certified Technology Associate; 8 SAP PM integrations in energy sector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100%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OT / ICS Lead</w:t>
            </w:r>
          </w:p>
        </w:tc>
        <w:tc>
          <w:tcPr>
            <w:tcW w:type="dxa" w:w="52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IEAM specialist; OPC-UA certified; 6 IEAM deployments in O&amp;G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Security Lead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X-Force certified; CISSP; ISO 27001 Lead Auditor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100%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Cognos Analytics Lead</w:t>
            </w:r>
          </w:p>
        </w:tc>
        <w:tc>
          <w:tcPr>
            <w:tcW w:type="dxa" w:w="52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Certified BI Developer; Arabic UI experience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UAE Engagement Manager</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Abu Dhabi; 10 yrs UAE technology delivery; Arabic speaker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100%</w:t>
            </w:r>
          </w:p>
        </w:tc>
      </w:tr>
    </w:tbl>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VOLUME 7 — COMMERCIAL SUMMARY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1340"/>
        <w:gridCol w:w="1340"/>
        <w:gridCol w:w="1340"/>
        <w:gridCol w:w="1340"/>
      </w:tblGrid>
      <w:tr>
        <w:tc>
          <w:tcPr>
            <w:tcW w:type="dxa" w:w="30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Cost Component</w:t>
            </w:r>
          </w:p>
        </w:tc>
        <w:tc>
          <w:tcPr>
            <w:tcW w:type="dxa" w:w="134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Year 1</w:t>
            </w:r>
          </w:p>
        </w:tc>
        <w:tc>
          <w:tcPr>
            <w:tcW w:type="dxa" w:w="134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Year 2</w:t>
            </w:r>
          </w:p>
        </w:tc>
        <w:tc>
          <w:tcPr>
            <w:tcW w:type="dxa" w:w="134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Years 3-5 (p.a.)</w:t>
            </w:r>
          </w:p>
        </w:tc>
        <w:tc>
          <w:tcPr>
            <w:tcW w:type="dxa" w:w="134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5-Year Total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MAS License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1,200,000</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1,200,000</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1,200,000</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6,000,000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Implementation &amp; Delivery</w:t>
            </w:r>
          </w:p>
        </w:tc>
        <w:tc>
          <w:tcPr>
            <w:tcW w:type="dxa" w:w="13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2,400,000</w:t>
            </w:r>
          </w:p>
        </w:tc>
        <w:tc>
          <w:tcPr>
            <w:tcW w:type="dxa" w:w="13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800,000</w:t>
            </w:r>
          </w:p>
        </w:tc>
        <w:tc>
          <w:tcPr>
            <w:tcW w:type="dxa" w:w="13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w:t>
            </w:r>
          </w:p>
        </w:tc>
        <w:tc>
          <w:tcPr>
            <w:tcW w:type="dxa" w:w="13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3,200,000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ICM Cloud Infrastructure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350,000</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380,000</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400,000</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1,930,000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Managed Support (24x7)</w:t>
            </w:r>
          </w:p>
        </w:tc>
        <w:tc>
          <w:tcPr>
            <w:tcW w:type="dxa" w:w="13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w:t>
            </w:r>
          </w:p>
        </w:tc>
        <w:tc>
          <w:tcPr>
            <w:tcW w:type="dxa" w:w="13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220,000</w:t>
            </w:r>
          </w:p>
        </w:tc>
        <w:tc>
          <w:tcPr>
            <w:tcW w:type="dxa" w:w="13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250,000</w:t>
            </w:r>
          </w:p>
        </w:tc>
        <w:tc>
          <w:tcPr>
            <w:tcW w:type="dxa" w:w="13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970,000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Training &amp; Change Mgmt</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180,000</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180,000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5-YEAR TCO</w:t>
            </w:r>
          </w:p>
        </w:tc>
        <w:tc>
          <w:tcPr>
            <w:tcW w:type="dxa" w:w="13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
            </w:r>
          </w:p>
        </w:tc>
        <w:tc>
          <w:tcPr>
            <w:tcW w:type="dxa" w:w="13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
            </w:r>
          </w:p>
        </w:tc>
        <w:tc>
          <w:tcPr>
            <w:tcW w:type="dxa" w:w="13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
            </w:r>
          </w:p>
        </w:tc>
        <w:tc>
          <w:tcPr>
            <w:tcW w:type="dxa" w:w="13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USD 12,280,000</w:t>
            </w:r>
          </w:p>
        </w:tc>
      </w:tr>
    </w:tbl>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03C" w:sz="4" w:space="4"/>
      </w:pBdr>
      <w:tabs>
        <w:tab w:val="right" w:pos="9026"/>
      </w:tabs>
    </w:pPr>
    <w:r>
      <w:rPr>
        <w:rFonts w:ascii="Arial" w:cs="Arial" w:eastAsia="Arial" w:hAnsi="Arial"/>
        <w:color w:val="888888"/>
        <w:sz w:val="16"/>
        <w:szCs w:val="16"/>
      </w:rPr>
      <w:t xml:space="preserve">IBM Corporation — AI-Based Predictive Maintenance System Proposal</w:t>
    </w:r>
    <w:r>
      <w:rPr>
        <w:rFonts w:ascii="Arial" w:cs="Arial" w:eastAsia="Arial" w:hAnsi="Arial"/>
        <w:i/>
        <w:iCs/>
        <w:color w:val="AAAAAA"/>
        <w:sz w:val="16"/>
        <w:szCs w:val="16"/>
      </w:rPr>
      <w:t xml:space="preserve">	FICTIONAL — FOR TENDERAI TESTING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03C" w:sz="4" w:space="4"/>
      </w:pBdr>
    </w:pPr>
    <w:r>
      <w:rPr>
        <w:rFonts w:ascii="Arial" w:cs="Arial" w:eastAsia="Arial" w:hAnsi="Arial"/>
        <w:color w:val="888888"/>
        <w:sz w:val="16"/>
        <w:szCs w:val="16"/>
      </w:rPr>
      <w:t xml:space="preserve">IBM CORPORATION  |  Response to ADNOC-DTD-2025-RFP-0147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3366"/>
      <w:sz w:val="28"/>
      <w:szCs w:val="28"/>
    </w:rPr>
  </w:style>
  <w:style w:type="paragraph" w:styleId="Heading2">
    <w:name w:val="Heading 2"/>
    <w:basedOn w:val="Normal"/>
    <w:next w:val="Normal"/>
    <w:qFormat/>
    <w:pPr>
      <w:spacing w:before="300" w:after="120"/>
      <w:outlineLvl w:val="1"/>
    </w:pPr>
    <w:rPr>
      <w:rFonts w:ascii="Arial" w:cs="Arial" w:eastAsia="Arial" w:hAnsi="Arial"/>
      <w:b/>
      <w:bCs/>
      <w:color w:val="00703C"/>
      <w:sz w:val="24"/>
      <w:szCs w:val="24"/>
    </w:rPr>
  </w:style>
  <w:style w:type="paragraph" w:styleId="Heading3">
    <w:name w:val="Heading 3"/>
    <w:basedOn w:val="Normal"/>
    <w:next w:val="Normal"/>
    <w:qFormat/>
    <w:pPr>
      <w:spacing w:before="200" w:after="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2026-02-22T20:17:15.311Z</dcterms:created>
  <dcterms:modified xsi:type="dcterms:W3CDTF">2026-02-22T20:17:15.311Z</dcterms:modified>
</cp:coreProperties>
</file>

<file path=docProps/custom.xml><?xml version="1.0" encoding="utf-8"?>
<Properties xmlns="http://schemas.openxmlformats.org/officeDocument/2006/custom-properties" xmlns:vt="http://schemas.openxmlformats.org/officeDocument/2006/docPropsVTypes"/>
</file>