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00703C"/>
          <w:sz w:val="36"/>
          <w:szCs w:val="36"/>
        </w:rPr>
        <w:t xml:space="preserve">AL DHABI ENERGY CORPORATION</w:t>
      </w:r>
    </w:p>
    <w:p>
      <w:pPr>
        <w:spacing w:before="0" w:after="40"/>
        <w:jc w:val="center"/>
      </w:pPr>
      <w:r>
        <w:rPr>
          <w:rFonts w:ascii="Arial" w:cs="Arial" w:eastAsia="Arial" w:hAnsi="Arial"/>
          <w:b/>
          <w:bCs/>
          <w:color w:val="003366"/>
          <w:sz w:val="22"/>
          <w:szCs w:val="22"/>
        </w:rPr>
        <w:t xml:space="preserve">ALDEC Digital Technology Division</w:t>
      </w:r>
    </w:p>
    <w:p>
      <w:pPr>
        <w:spacing w:before="0" w:after="60"/>
        <w:jc w:val="center"/>
      </w:pPr>
      <w:r>
        <w:rPr>
          <w:rFonts w:ascii="Arial" w:cs="Arial" w:eastAsia="Arial" w:hAnsi="Arial"/>
          <w:color w:val="D9D9D9"/>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3C" w:sz="4"/>
              <w:left w:val="single" w:color="00703C" w:sz="4"/>
              <w:bottom w:val="single" w:color="00703C" w:sz="4"/>
              <w:right w:val="single" w:color="00703C" w:sz="4"/>
            </w:tcBorders>
            <w:shd w:fill="C4262E" w:val="clear"/>
            <w:tcMar>
              <w:top w:type="dxa" w:w="500"/>
              <w:left w:type="dxa" w:w="500"/>
              <w:bottom w:type="dxa" w:w="500"/>
              <w:right w:type="dxa" w:w="500"/>
            </w:tcMar>
          </w:tcPr>
          <w:p>
            <w:pPr>
              <w:jc w:val="center"/>
            </w:pPr>
            <w:r>
              <w:rPr>
                <w:rFonts w:ascii="Arial" w:cs="Arial" w:eastAsia="Arial" w:hAnsi="Arial"/>
                <w:b/>
                <w:bCs/>
                <w:color w:val="DDDDDD"/>
                <w:sz w:val="22"/>
                <w:szCs w:val="22"/>
              </w:rPr>
              <w:t xml:space="preserve">RESPONSE TO REQUEST FOR PROPOSAL</w:t>
            </w:r>
          </w:p>
          <w:p>
            <w:pPr>
              <w:spacing w:before="160"/>
              <w:jc w:val="center"/>
            </w:pPr>
            <w:r>
              <w:rPr>
                <w:rFonts w:ascii="Arial" w:cs="Arial" w:eastAsia="Arial" w:hAnsi="Arial"/>
                <w:b/>
                <w:bCs/>
                <w:color w:val="FFFFFF"/>
                <w:sz w:val="40"/>
                <w:szCs w:val="40"/>
              </w:rPr>
              <w:t xml:space="preserve">Honifield Process Solutions</w:t>
            </w:r>
          </w:p>
          <w:p>
            <w:pPr>
              <w:spacing w:before="120"/>
              <w:jc w:val="center"/>
            </w:pPr>
            <w:r>
              <w:rPr>
                <w:rFonts w:ascii="Arial" w:cs="Arial" w:eastAsia="Arial" w:hAnsi="Arial"/>
                <w:color w:val="C8A951"/>
                <w:sz w:val="24"/>
                <w:szCs w:val="24"/>
              </w:rPr>
              <w:t xml:space="preserve">Honifield Forge APM — Industrial Asset Performance Management</w:t>
            </w:r>
          </w:p>
        </w:tc>
      </w:tr>
    </w:tbl>
    <w:p>
      <w:pPr>
        <w:spacing w:before="60" w:after="60"/>
      </w:pPr>
      <w:r>
        <w:t xml:space="preserve"/>
      </w:r>
    </w:p>
    <w:p>
      <w:pPr>
        <w:spacing w:before="200" w:after="60"/>
        <w:jc w:val="center"/>
      </w:pPr>
      <w:r>
        <w:rPr>
          <w:rFonts w:ascii="Arial" w:cs="Arial" w:eastAsia="Arial" w:hAnsi="Arial"/>
          <w:b/>
          <w:bCs/>
          <w:color w:val="003366"/>
          <w:sz w:val="22"/>
          <w:szCs w:val="22"/>
        </w:rPr>
        <w:t xml:space="preserve">In Response to: ALDEC-DTD-2025-RFP-0147</w:t>
      </w:r>
    </w:p>
    <w:p>
      <w:pPr>
        <w:spacing w:before="40" w:after="40"/>
        <w:jc w:val="center"/>
      </w:pPr>
      <w:r>
        <w:rPr>
          <w:rFonts w:ascii="Arial" w:cs="Arial" w:eastAsia="Arial" w:hAnsi="Arial"/>
          <w:color w:val="1A1A2E"/>
          <w:sz w:val="20"/>
          <w:szCs w:val="20"/>
        </w:rPr>
        <w:t xml:space="preserve">Submission Date: 27 February 2025  |  Prepared by: Honifield Middle East Ltd, Abu Dhabi</w:t>
      </w:r>
    </w:p>
    <w:p>
      <w:pPr>
        <w:spacing w:before="40" w:after="40"/>
        <w:jc w:val="center"/>
      </w:pPr>
      <w:r>
        <w:rPr>
          <w:rFonts w:ascii="Arial" w:cs="Arial" w:eastAsia="Arial" w:hAnsi="Arial"/>
          <w:b/>
          <w:bCs/>
          <w:i/>
          <w:iCs/>
          <w:color w:val="CC0000"/>
          <w:sz w:val="18"/>
          <w:szCs w:val="18"/>
        </w:rPr>
        <w:t xml:space="preserve">CONFIDENTIAL</w:t>
      </w:r>
    </w:p>
    <w:p>
      <w:r>
        <w:br w:type="page"/>
      </w:r>
    </w:p>
    <w:p>
      <w:pPr>
        <w:spacing w:before="60" w:after="80"/>
      </w:pPr>
      <w:r>
        <w:rPr>
          <w:rFonts w:ascii="Arial" w:cs="Arial" w:eastAsia="Arial" w:hAnsi="Arial"/>
          <w:sz w:val="20"/>
          <w:szCs w:val="20"/>
        </w:rPr>
        <w:t xml:space="preserve">This proposal is submitted by Honifield Process Solutions, a division of Honifield International Inc., in response to ALDEC Digital Technology Division's RFP for an AI-Based Predictive Maintenance System (Reference: ALDEC-DTD-2025-RFP-0147). All contents are proprietary and confidential.</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1 — EXECUTIVE SUMMARY</w:t>
      </w:r>
    </w:p>
    <w:p>
      <w:pPr>
        <w:spacing w:before="60" w:after="80"/>
      </w:pPr>
      <w:r>
        <w:rPr>
          <w:rFonts w:ascii="Arial" w:cs="Arial" w:eastAsia="Arial" w:hAnsi="Arial"/>
          <w:sz w:val="20"/>
          <w:szCs w:val="20"/>
        </w:rPr>
        <w:t xml:space="preserve">Honifield Process Solutions is proud to present this proposal for ALDEC's AI-Based Predictive Maintenance System for Drilling Equipment. As a 100+ year pioneer in industrial process control and the creator of the industry-leading Honifield Forge Asset Performance Management (APM) platform, Honifield brings unmatched depth in OT/IT convergence, drilling equipment domain knowledge, and Middle East oil &amp; gas delivery experience.</w:t>
      </w:r>
    </w:p>
    <w:p>
      <w:pPr>
        <w:spacing w:before="60" w:after="80"/>
      </w:pPr>
      <w:r>
        <w:rPr>
          <w:rFonts w:ascii="Arial" w:cs="Arial" w:eastAsia="Arial" w:hAnsi="Arial"/>
          <w:sz w:val="20"/>
          <w:szCs w:val="20"/>
        </w:rPr>
        <w:t xml:space="preserve">Honifield Forge APM is deployed at over 400 industrial facilities globally — including 12 NOC and IOC drilling operations — making it the most widely proven OT-native predictive maintenance platform in the oil &amp; gas sector. Unlike IT-centric platforms that require extensive customization for industrial environments, Honifield Forge APM is purpose-built for the operational technology domain and ships with 28 pre-built ML models specifically engineered for drilling equipment including top drives, mud pumps, draw works, BOP control systems, and crown/traveling blocks.</w:t>
      </w:r>
    </w:p>
    <w:p>
      <w:pPr>
        <w:spacing w:before="60" w:after="80"/>
      </w:pPr>
      <w:r>
        <w:rPr>
          <w:rFonts w:ascii="Arial" w:cs="Arial" w:eastAsia="Arial" w:hAnsi="Arial"/>
          <w:sz w:val="20"/>
          <w:szCs w:val="20"/>
        </w:rPr>
        <w:t xml:space="preserve">Honifield's proposal features a fully on-premise deployment within ALDEC's private cloud environment, ensuring absolute data sovereignty — all ALDEC operational data remains within ALDEC-controlled infrastructure with no dependency on external cloud providers. This approach eliminates data residency risk entirely while delivering the full intelligence of the Forge APM platform.</w:t>
      </w:r>
    </w:p>
    <w:p>
      <w:pPr>
        <w:spacing w:before="60" w:after="80"/>
      </w:pPr>
      <w:r>
        <w:rPr>
          <w:rFonts w:ascii="Arial" w:cs="Arial" w:eastAsia="Arial" w:hAnsi="Arial"/>
          <w:sz w:val="20"/>
          <w:szCs w:val="20"/>
        </w:rPr>
        <w:t xml:space="preserve">Our proprietary physics-informed neural network (PINN) methodology combines physics-based equipment models with data-driven ML, achieving superior failure prediction accuracy for mechanical systems compared to pure statistical approaches. In independent benchmarking against data-driven-only models, Honifield PINN models demonstrated 34% higher precision on rotating equipment failure prediction.</w:t>
      </w:r>
    </w:p>
    <w:p>
      <w:pPr>
        <w:spacing w:before="60" w:after="80"/>
      </w:pPr>
      <w:r>
        <w:rPr>
          <w:rFonts w:ascii="Arial" w:cs="Arial" w:eastAsia="Arial" w:hAnsi="Arial"/>
          <w:sz w:val="20"/>
          <w:szCs w:val="20"/>
        </w:rPr>
        <w:t xml:space="preserve">Honifield Middle East Ltd has been operating in Abu Dhabi for over 40 years, with 35 dedicated professionals in our local office including OT engineers with direct ALDEC Group experience. Our proposed 5-year TCO is USD 10.4 million.</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2 — TECHNICAL PROPOSAL</w:t>
      </w:r>
    </w:p>
    <w:p>
      <w:pPr>
        <w:pStyle w:val="Heading2"/>
        <w:spacing w:before="300" w:after="120"/>
      </w:pPr>
      <w:r>
        <w:rPr>
          <w:rFonts w:ascii="Arial" w:cs="Arial" w:eastAsia="Arial" w:hAnsi="Arial"/>
          <w:b/>
          <w:bCs/>
          <w:color w:val="00703C"/>
          <w:sz w:val="24"/>
          <w:szCs w:val="24"/>
        </w:rPr>
        <w:t xml:space="preserve">2.1 Solution Architecture</w:t>
      </w:r>
    </w:p>
    <w:p>
      <w:pPr>
        <w:pStyle w:val="ListParagraph"/>
        <w:numPr>
          <w:ilvl w:val="0"/>
          <w:numId w:val="2"/>
        </w:numPr>
        <w:spacing w:before="40" w:after="40"/>
      </w:pPr>
      <w:r>
        <w:rPr>
          <w:rFonts w:ascii="Arial" w:cs="Arial" w:eastAsia="Arial" w:hAnsi="Arial"/>
          <w:sz w:val="20"/>
          <w:szCs w:val="20"/>
        </w:rPr>
        <w:t xml:space="preserve">OT Edge Layer: Honifield Experion PKS R520 DCS nodes are already deployed across many ALDEC rig sites and serve as the native data acquisition layer. Uniformance PHD historian provides sub-second time-series storage with an OPC-UA interface for downstream consumption. Honifield Forge Connector aggregates data from Uniformance PHD, third-party OSIsoft PI historians, and Wonderware SCADA systems.</w:t>
      </w:r>
    </w:p>
    <w:p>
      <w:pPr>
        <w:pStyle w:val="ListParagraph"/>
        <w:numPr>
          <w:ilvl w:val="0"/>
          <w:numId w:val="2"/>
        </w:numPr>
        <w:spacing w:before="40" w:after="40"/>
      </w:pPr>
      <w:r>
        <w:rPr>
          <w:rFonts w:ascii="Arial" w:cs="Arial" w:eastAsia="Arial" w:hAnsi="Arial"/>
          <w:sz w:val="20"/>
          <w:szCs w:val="20"/>
        </w:rPr>
        <w:t xml:space="preserve">Connectivity &amp; Integration Layer: Honifield Forge Connector provides production-tested connectors for OSIsoft PI (Web API and OLEDB), Honifield Uniformance PHD, Wonderware InTouch/System Platform, Modbus TCP devices, and MQTT-enabled sensors. The Honifield-SAP certified Plant Maintenance adapter provides real-time bidirectional work order management with SAP S/4HANA 2023.</w:t>
      </w:r>
    </w:p>
    <w:p>
      <w:pPr>
        <w:pStyle w:val="ListParagraph"/>
        <w:numPr>
          <w:ilvl w:val="0"/>
          <w:numId w:val="2"/>
        </w:numPr>
        <w:spacing w:before="40" w:after="40"/>
      </w:pPr>
      <w:r>
        <w:rPr>
          <w:rFonts w:ascii="Arial" w:cs="Arial" w:eastAsia="Arial" w:hAnsi="Arial"/>
          <w:sz w:val="20"/>
          <w:szCs w:val="20"/>
        </w:rPr>
        <w:t xml:space="preserve">AI &amp; Analytics Layer: Honifield Forge APM's embedded ML engine executes physics-informed neural network models — 28 pre-built models are activated for drilling equipment classes out of the box, supplemented by custom models trained on ALDEC-specific failure history during Phase 3. All model training and inference runs on-premise within ALDEC's private cloud infrastructure.</w:t>
      </w:r>
    </w:p>
    <w:p>
      <w:pPr>
        <w:pStyle w:val="ListParagraph"/>
        <w:numPr>
          <w:ilvl w:val="0"/>
          <w:numId w:val="2"/>
        </w:numPr>
        <w:spacing w:before="40" w:after="40"/>
      </w:pPr>
      <w:r>
        <w:rPr>
          <w:rFonts w:ascii="Arial" w:cs="Arial" w:eastAsia="Arial" w:hAnsi="Arial"/>
          <w:sz w:val="20"/>
          <w:szCs w:val="20"/>
        </w:rPr>
        <w:t xml:space="preserve">Visualization &amp; Mobility: Honifield Forge Dashboard v5.2 provides role-based operational dashboards with 3D P&amp;ID overlay capability, allowing maintenance personnel to visualize equipment health on live process diagrams. Honifield Forge Inspection mobile app (iOS and Android) enables field technicians to acknowledge alerts, access maintenance procedures, and record inspections from the rig floor.</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2.2 Physics-Informed Neural Networks (PINN)</w:t>
      </w:r>
    </w:p>
    <w:p>
      <w:pPr>
        <w:spacing w:before="60" w:after="80"/>
      </w:pPr>
      <w:r>
        <w:rPr>
          <w:rFonts w:ascii="Arial" w:cs="Arial" w:eastAsia="Arial" w:hAnsi="Arial"/>
          <w:sz w:val="20"/>
          <w:szCs w:val="20"/>
        </w:rPr>
        <w:t xml:space="preserve">Honifield's PINN approach embeds the thermodynamic and mechanical first principles governing drilling equipment behavior into the neural network architecture. This produces models that:</w:t>
      </w:r>
    </w:p>
    <w:p>
      <w:pPr>
        <w:pStyle w:val="ListParagraph"/>
        <w:numPr>
          <w:ilvl w:val="0"/>
          <w:numId w:val="2"/>
        </w:numPr>
        <w:spacing w:before="40" w:after="40"/>
      </w:pPr>
      <w:r>
        <w:rPr>
          <w:rFonts w:ascii="Arial" w:cs="Arial" w:eastAsia="Arial" w:hAnsi="Arial"/>
          <w:sz w:val="20"/>
          <w:szCs w:val="20"/>
        </w:rPr>
        <w:t xml:space="preserve">Generalize correctly to operating conditions not present in training data (e.g., new drill string configurations, reservoir pressure changes).</w:t>
      </w:r>
    </w:p>
    <w:p>
      <w:pPr>
        <w:pStyle w:val="ListParagraph"/>
        <w:numPr>
          <w:ilvl w:val="0"/>
          <w:numId w:val="2"/>
        </w:numPr>
        <w:spacing w:before="40" w:after="40"/>
      </w:pPr>
      <w:r>
        <w:rPr>
          <w:rFonts w:ascii="Arial" w:cs="Arial" w:eastAsia="Arial" w:hAnsi="Arial"/>
          <w:sz w:val="20"/>
          <w:szCs w:val="20"/>
        </w:rPr>
        <w:t xml:space="preserve">Require fewer labeled failure examples for training — critical for equipment types with sparse historical failure records.</w:t>
      </w:r>
    </w:p>
    <w:p>
      <w:pPr>
        <w:pStyle w:val="ListParagraph"/>
        <w:numPr>
          <w:ilvl w:val="0"/>
          <w:numId w:val="2"/>
        </w:numPr>
        <w:spacing w:before="40" w:after="40"/>
      </w:pPr>
      <w:r>
        <w:rPr>
          <w:rFonts w:ascii="Arial" w:cs="Arial" w:eastAsia="Arial" w:hAnsi="Arial"/>
          <w:sz w:val="20"/>
          <w:szCs w:val="20"/>
        </w:rPr>
        <w:t xml:space="preserve">Provide physically meaningful explanations for predicted failures (e.g., 'bearing temperature rise exceeds predicted envelope for current RPM and WOB combination').</w:t>
      </w:r>
    </w:p>
    <w:p>
      <w:pPr>
        <w:pStyle w:val="ListParagraph"/>
        <w:numPr>
          <w:ilvl w:val="0"/>
          <w:numId w:val="2"/>
        </w:numPr>
        <w:spacing w:before="40" w:after="40"/>
      </w:pPr>
      <w:r>
        <w:rPr>
          <w:rFonts w:ascii="Arial" w:cs="Arial" w:eastAsia="Arial" w:hAnsi="Arial"/>
          <w:sz w:val="20"/>
          <w:szCs w:val="20"/>
        </w:rPr>
        <w:t xml:space="preserve">Target model performance: &gt;= 87% precision, &gt;= 82% recall at 72-hour prediction horizon — exceeding the RFP's minimum thresholds.</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Technology</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Version</w:t>
            </w:r>
          </w:p>
        </w:tc>
        <w:tc>
          <w:tcPr>
            <w:tcW w:type="dxa" w:w="23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Core APM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Forge APM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v5.2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 (ALDEC Private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DCS / Edge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Experion PKS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R520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On-Rig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Historian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Uniformance PHD + OSIsoft PI 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PHD 310 + PI 2019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ML Engine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Forge ML (PINN + Ensemble)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v5.2 Embedded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Forge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v5.2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Mobile App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Forge Inspection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v4.1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iOS &amp; Android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Connector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Honifield-SAP PM Certified Adapter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S/4HANA 2023 Cert.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Connector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Forge Connector (PI Web API / OLEDB)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v2019+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SCADA Connector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Forge Connector (OPC-UA, Modbus TCP)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v5.2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MQTT Ingestion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Forge Connector (MQTT Broker)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v5.2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Active Directory + Duo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SAML 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 / Cloud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at Rest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AES-128 (Forge APM default)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FIPS 140-2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Encryption in Transit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TLS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Enforced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All endpoints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ICS Security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Forge Cybersecurity Suite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v5.1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On-Prem</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3 — COMPLIANCE &amp; SECURITY</w:t>
      </w:r>
    </w:p>
    <w:p>
      <w:pPr>
        <w:pStyle w:val="Heading2"/>
        <w:spacing w:before="300" w:after="120"/>
      </w:pPr>
      <w:r>
        <w:rPr>
          <w:rFonts w:ascii="Arial" w:cs="Arial" w:eastAsia="Arial" w:hAnsi="Arial"/>
          <w:b/>
          <w:bCs/>
          <w:color w:val="00703C"/>
          <w:sz w:val="24"/>
          <w:szCs w:val="24"/>
        </w:rPr>
        <w:t xml:space="preserve">3.1 Mandatory Compliance Matrix</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860"/>
      </w:tblGrid>
      <w:tr>
        <w:tc>
          <w:tcPr>
            <w:tcW w:type="dxa" w:w="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w:t>
            </w:r>
          </w:p>
        </w:tc>
        <w:tc>
          <w:tcPr>
            <w:tcW w:type="dxa" w:w="20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Requirement</w:t>
            </w:r>
          </w:p>
        </w:tc>
        <w:tc>
          <w:tcPr>
            <w:tcW w:type="dxa" w:w="45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Honifield Response</w:t>
            </w:r>
          </w:p>
        </w:tc>
        <w:tc>
          <w:tcPr>
            <w:tcW w:type="dxa" w:w="8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Evidence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ISO/IEC 27001:2022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Process Solutions holds ISO/IEC 27001 certification for its industrial software division. Certificate (No. HPS-IS-2021-04) enclosed. Honifield's information security management practices are continuously reviewed and updated in line with evolving ISO 27001 standards.</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Registration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Middle East Ltd, UAE CR No. CN-2345678, Abu Dhabi. Over 40 years of UAE operations with 35 dedicated Abu Dhabi staff.</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 O&amp;G PdM References (NPT)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KNPC (-24% maintenance cost, -18% NPT), ADCO/ALDEC Onshore (-18% NPT), Shell Upstream Netherlands (-21% planned maintenance scope). Reference letters enclosed.</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C</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Data Residency + DPA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Fully on-premise deployment within ALDEC-controlled private cloud infrastructure. No data leaves ALDEC network perimeter. Data Processing Agreement enclosed.</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Real-Time API 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Honifield-SAP PM certified adapter provides real-time bidirectional Work Order integration. Validated for SAP S/4HANA 2023. Production reference at KNPC.</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OSIsoft PI Historian Integration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Forge Connector includes native PI Web API and OLEDB connectors. Production deployments at 8 sites including ADCO.</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OPC-UA &amp; MQTT (both required)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Both OPC-UA and MQTT natively supported by Honifield Forge Connector v5.2. Modbus TCP also supported as standard.</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M-08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99.9% Uptime SLA</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Forge APM on-premise SLA guarantees 99.9% monthly platform availability. Sample SLA enclosed.</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MFA Enforced + RBAC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Forge APM RBAC natively enforces role-based access. MFA capability is provided via Duo Security integration, available as part of the Honifield Forge Cybersecurity Suite add-on.</w:t>
            </w:r>
          </w:p>
        </w:tc>
        <w:tc>
          <w:tcPr>
            <w:tcW w:type="dxa" w:w="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I</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M-10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PDPL + ADEO (all 18 domains)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is committed to data protection in accordance with applicable UAE regulations. The on-premise deployment model ensures ALDEC retains full control over all operational data. Honifield's Forge Cybersecurity Suite addresses key industrial security domains including network segmentation, access management, vulnerability monitoring, and incident response. A compliance mapping document addressing the relevant ADEO Cybersecurity Policy Framework domains is provided in Annex J.</w:t>
            </w:r>
          </w:p>
        </w:tc>
        <w:tc>
          <w:tcPr>
            <w:tcW w:type="dxa" w:w="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Annex J</w:t>
            </w:r>
          </w:p>
        </w:tc>
      </w:tr>
    </w:tbl>
    <w:p>
      <w:pPr>
        <w:spacing w:before="60" w:after="60"/>
      </w:pPr>
      <w:r>
        <w:t xml:space="preserve"/>
      </w:r>
    </w:p>
    <w:p>
      <w:pPr>
        <w:pStyle w:val="Heading2"/>
        <w:spacing w:before="300" w:after="120"/>
      </w:pPr>
      <w:r>
        <w:rPr>
          <w:rFonts w:ascii="Arial" w:cs="Arial" w:eastAsia="Arial" w:hAnsi="Arial"/>
          <w:b/>
          <w:bCs/>
          <w:color w:val="00703C"/>
          <w:sz w:val="24"/>
          <w:szCs w:val="24"/>
        </w:rPr>
        <w:t xml:space="preserve">3.2 OT/ICS Security — IEC 62443</w:t>
      </w:r>
    </w:p>
    <w:p>
      <w:pPr>
        <w:spacing w:before="60" w:after="80"/>
      </w:pPr>
      <w:r>
        <w:rPr>
          <w:rFonts w:ascii="Arial" w:cs="Arial" w:eastAsia="Arial" w:hAnsi="Arial"/>
          <w:sz w:val="20"/>
          <w:szCs w:val="20"/>
        </w:rPr>
        <w:t xml:space="preserve">Honifield Forge APM and the associated Experion PKS control system components are designed in accordance with IEC 62443 security principles for industrial control systems. Honifield's Forge Cybersecurity Suite provides continuous OT network monitoring, passive asset discovery, and anomaly detection, supporting defense-in-depth across the OT/IT boundary. Honifield's Industrial Cybersecurity practice has conducted IEC 62443 risk assessments at over 200 sites globally.</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3.3 Data Security</w:t>
      </w:r>
    </w:p>
    <w:p>
      <w:pPr>
        <w:pStyle w:val="ListParagraph"/>
        <w:numPr>
          <w:ilvl w:val="0"/>
          <w:numId w:val="2"/>
        </w:numPr>
        <w:spacing w:before="40" w:after="40"/>
      </w:pPr>
      <w:r>
        <w:rPr>
          <w:rFonts w:ascii="Arial" w:cs="Arial" w:eastAsia="Arial" w:hAnsi="Arial"/>
          <w:sz w:val="20"/>
          <w:szCs w:val="20"/>
        </w:rPr>
        <w:t xml:space="preserve">Honifield Forge APM on-premise deployment ensures all ALDEC operational data remains within ALDEC network boundaries at all times.</w:t>
      </w:r>
    </w:p>
    <w:p>
      <w:pPr>
        <w:pStyle w:val="ListParagraph"/>
        <w:numPr>
          <w:ilvl w:val="0"/>
          <w:numId w:val="2"/>
        </w:numPr>
        <w:spacing w:before="40" w:after="40"/>
      </w:pPr>
      <w:r>
        <w:rPr>
          <w:rFonts w:ascii="Arial" w:cs="Arial" w:eastAsia="Arial" w:hAnsi="Arial"/>
          <w:sz w:val="20"/>
          <w:szCs w:val="20"/>
        </w:rPr>
        <w:t xml:space="preserve">Forge APM applies AES-128 encryption for data at rest, meeting FIPS 140-2 validation requirements. TLS 1.3 is enforced for all data in transit.</w:t>
      </w:r>
    </w:p>
    <w:p>
      <w:pPr>
        <w:pStyle w:val="ListParagraph"/>
        <w:numPr>
          <w:ilvl w:val="0"/>
          <w:numId w:val="2"/>
        </w:numPr>
        <w:spacing w:before="40" w:after="40"/>
      </w:pPr>
      <w:r>
        <w:rPr>
          <w:rFonts w:ascii="Arial" w:cs="Arial" w:eastAsia="Arial" w:hAnsi="Arial"/>
          <w:sz w:val="20"/>
          <w:szCs w:val="20"/>
        </w:rPr>
        <w:t xml:space="preserve">Comprehensive audit logging is maintained within the on-premise deployment, with 3-year log retention configurable in the Forge APM administration console.</w:t>
      </w:r>
    </w:p>
    <w:p>
      <w:pPr>
        <w:pStyle w:val="ListParagraph"/>
        <w:numPr>
          <w:ilvl w:val="0"/>
          <w:numId w:val="2"/>
        </w:numPr>
        <w:spacing w:before="40" w:after="40"/>
      </w:pPr>
      <w:r>
        <w:rPr>
          <w:rFonts w:ascii="Arial" w:cs="Arial" w:eastAsia="Arial" w:hAnsi="Arial"/>
          <w:sz w:val="20"/>
          <w:szCs w:val="20"/>
        </w:rPr>
        <w:t xml:space="preserve">Annual security assessments are conducted by Honifield's X (cybersecurity) practice team, with findings reported to the client CISO within 30 days.</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4 — VENDOR QUALIFICATIONS &amp; REFERENCES</w:t>
      </w:r>
    </w:p>
    <w:p>
      <w:pPr>
        <w:pStyle w:val="Heading2"/>
        <w:spacing w:before="300" w:after="120"/>
      </w:pPr>
      <w:r>
        <w:rPr>
          <w:rFonts w:ascii="Arial" w:cs="Arial" w:eastAsia="Arial" w:hAnsi="Arial"/>
          <w:b/>
          <w:bCs/>
          <w:color w:val="00703C"/>
          <w:sz w:val="24"/>
          <w:szCs w:val="24"/>
        </w:rPr>
        <w:t xml:space="preserve">4.1 Corporate Profile</w:t>
      </w:r>
    </w:p>
    <w:p>
      <w:pPr>
        <w:spacing w:before="60" w:after="80"/>
      </w:pPr>
      <w:r>
        <w:rPr>
          <w:rFonts w:ascii="Arial" w:cs="Arial" w:eastAsia="Arial" w:hAnsi="Arial"/>
          <w:sz w:val="20"/>
          <w:szCs w:val="20"/>
        </w:rPr>
        <w:t xml:space="preserve">Honifield International Inc. (NASDAQ: HON) is a global industrial technology company with USD 36.7 billion in revenue (FY2024). Honifield Process Solutions is the world's leading provider of automation and control solutions for the oil &amp; gas, refining, and petrochemical industries. Honifield's installed base in the Middle East includes process control systems at over 200 facilities across Saudi Arabia, UAE, Kuwait, Qatar, and Oman.</w:t>
      </w:r>
    </w:p>
    <w:p>
      <w:pPr>
        <w:spacing w:before="60" w:after="60"/>
      </w:pPr>
      <w:r>
        <w:t xml:space="preserve"/>
      </w:r>
    </w:p>
    <w:p>
      <w:pPr>
        <w:pStyle w:val="Heading2"/>
        <w:spacing w:before="300" w:after="120"/>
      </w:pPr>
      <w:r>
        <w:rPr>
          <w:rFonts w:ascii="Arial" w:cs="Arial" w:eastAsia="Arial" w:hAnsi="Arial"/>
          <w:b/>
          <w:bCs/>
          <w:color w:val="00703C"/>
          <w:sz w:val="24"/>
          <w:szCs w:val="24"/>
        </w:rPr>
        <w:t xml:space="preserve">4.2 Reference Projects</w:t>
      </w:r>
    </w:p>
    <w:p>
      <w:pPr>
        <w:pStyle w:val="Heading3"/>
        <w:spacing w:before="200" w:after="80"/>
      </w:pPr>
      <w:r>
        <w:rPr>
          <w:rFonts w:ascii="Arial" w:cs="Arial" w:eastAsia="Arial" w:hAnsi="Arial"/>
          <w:b/>
          <w:bCs/>
          <w:color w:val="1A1A2E"/>
          <w:sz w:val="22"/>
          <w:szCs w:val="22"/>
        </w:rPr>
        <w:t xml:space="preserve">Reference 1 — Kuwait National Petroleum Company (KNPC)</w:t>
      </w:r>
    </w:p>
    <w:p>
      <w:pPr>
        <w:spacing w:before="60" w:after="80"/>
      </w:pPr>
      <w:r>
        <w:rPr>
          <w:rFonts w:ascii="Arial" w:cs="Arial" w:eastAsia="Arial" w:hAnsi="Arial"/>
          <w:sz w:val="20"/>
          <w:szCs w:val="20"/>
        </w:rPr>
        <w:t xml:space="preserve">Scope: Honifield Forge APM v5.0 deployment for predictive maintenance of 320 centrifugal pumps and compressors at Mina Al-Ahmadi refinery and Shuaiba Industrial Area.</w:t>
      </w:r>
    </w:p>
    <w:p>
      <w:pPr>
        <w:spacing w:before="60" w:after="80"/>
      </w:pPr>
      <w:r>
        <w:rPr>
          <w:rFonts w:ascii="Arial" w:cs="Arial" w:eastAsia="Arial" w:hAnsi="Arial"/>
          <w:sz w:val="20"/>
          <w:szCs w:val="20"/>
        </w:rPr>
        <w:t xml:space="preserve">Outcome: 24% reduction in maintenance costs; 18% NPT improvement over 18 months post-deployment.</w:t>
      </w:r>
    </w:p>
    <w:p>
      <w:pPr>
        <w:spacing w:before="60" w:after="80"/>
      </w:pPr>
      <w:r>
        <w:rPr>
          <w:rFonts w:ascii="Arial" w:cs="Arial" w:eastAsia="Arial" w:hAnsi="Arial"/>
          <w:sz w:val="20"/>
          <w:szCs w:val="20"/>
        </w:rPr>
        <w:t xml:space="preserve">Reference Contact: Faisal Al-Mudhaf, VP Reliability &amp; Inspection, KNPC. Reference letter: Annex C1.</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2 — ADCO / ALDEC Onshore (Abu Dhabi)</w:t>
      </w:r>
    </w:p>
    <w:p>
      <w:pPr>
        <w:spacing w:before="60" w:after="80"/>
      </w:pPr>
      <w:r>
        <w:rPr>
          <w:rFonts w:ascii="Arial" w:cs="Arial" w:eastAsia="Arial" w:hAnsi="Arial"/>
          <w:sz w:val="20"/>
          <w:szCs w:val="20"/>
        </w:rPr>
        <w:t xml:space="preserve">Scope: Honifield Forge APM pilot deployment for wellhead gas compressors at Bu Hasa and Bab fields (2022). OSIsoft PI 2019 integration with ALDEC Intranet PI Server.</w:t>
      </w:r>
    </w:p>
    <w:p>
      <w:pPr>
        <w:spacing w:before="60" w:after="80"/>
      </w:pPr>
      <w:r>
        <w:rPr>
          <w:rFonts w:ascii="Arial" w:cs="Arial" w:eastAsia="Arial" w:hAnsi="Arial"/>
          <w:sz w:val="20"/>
          <w:szCs w:val="20"/>
        </w:rPr>
        <w:t xml:space="preserve">Outcome: 18% NPT improvement in the 12 months following Go-Live. Honifield Experion PKS already installed on these assets — zero additional edge hardware required.</w:t>
      </w:r>
    </w:p>
    <w:p>
      <w:pPr>
        <w:spacing w:before="60" w:after="80"/>
      </w:pPr>
      <w:r>
        <w:rPr>
          <w:rFonts w:ascii="Arial" w:cs="Arial" w:eastAsia="Arial" w:hAnsi="Arial"/>
          <w:sz w:val="20"/>
          <w:szCs w:val="20"/>
        </w:rPr>
        <w:t xml:space="preserve">Reference Contact: Ahmad Al-Hammadi, Chief Engineer - Asset Integrity, ALDEC Onshore. Reference letter: Annex C2.</w:t>
      </w:r>
    </w:p>
    <w:p>
      <w:pPr>
        <w:spacing w:before="60" w:after="60"/>
      </w:pPr>
      <w:r>
        <w:t xml:space="preserve"/>
      </w:r>
    </w:p>
    <w:p>
      <w:pPr>
        <w:pStyle w:val="Heading3"/>
        <w:spacing w:before="200" w:after="80"/>
      </w:pPr>
      <w:r>
        <w:rPr>
          <w:rFonts w:ascii="Arial" w:cs="Arial" w:eastAsia="Arial" w:hAnsi="Arial"/>
          <w:b/>
          <w:bCs/>
          <w:color w:val="1A1A2E"/>
          <w:sz w:val="22"/>
          <w:szCs w:val="22"/>
        </w:rPr>
        <w:t xml:space="preserve">Reference 3 — Shell Upstream Netherlands</w:t>
      </w:r>
    </w:p>
    <w:p>
      <w:pPr>
        <w:spacing w:before="60" w:after="80"/>
      </w:pPr>
      <w:r>
        <w:rPr>
          <w:rFonts w:ascii="Arial" w:cs="Arial" w:eastAsia="Arial" w:hAnsi="Arial"/>
          <w:sz w:val="20"/>
          <w:szCs w:val="20"/>
        </w:rPr>
        <w:t xml:space="preserve">Scope: Honifield Forge APM for rotating equipment predictive maintenance across 4 North Sea platforms (2020-2021).</w:t>
      </w:r>
    </w:p>
    <w:p>
      <w:pPr>
        <w:spacing w:before="60" w:after="80"/>
      </w:pPr>
      <w:r>
        <w:rPr>
          <w:rFonts w:ascii="Arial" w:cs="Arial" w:eastAsia="Arial" w:hAnsi="Arial"/>
          <w:sz w:val="20"/>
          <w:szCs w:val="20"/>
        </w:rPr>
        <w:t xml:space="preserve">Outcome: 21% reduction in planned maintenance scope due to improved condition-based scheduling; PINN models outperformed statistical baselines by 34% precision improvement.</w:t>
      </w:r>
    </w:p>
    <w:p>
      <w:pPr>
        <w:spacing w:before="60" w:after="80"/>
      </w:pPr>
      <w:r>
        <w:rPr>
          <w:rFonts w:ascii="Arial" w:cs="Arial" w:eastAsia="Arial" w:hAnsi="Arial"/>
          <w:sz w:val="20"/>
          <w:szCs w:val="20"/>
        </w:rPr>
        <w:t xml:space="preserve">Reference Contact: Jan Van Der Berg, Asset Integrity Manager, Shell Upstream. Reference letter: Annex C3.</w:t>
      </w:r>
    </w:p>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5 —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Duration</w:t>
            </w:r>
          </w:p>
        </w:tc>
        <w:tc>
          <w:tcPr>
            <w:tcW w:type="dxa" w:w="55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Key Deliverables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0-1: Mobilization &amp; Architecture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Charter, on-prem environment design, hardware procurement plan, HLD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2: Edge &amp; Connectivity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7-16</w:t>
            </w:r>
          </w:p>
        </w:tc>
        <w:tc>
          <w:tcPr>
            <w:tcW w:type="dxa" w:w="5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Experion PKS integration, Uniformance PHD, PI bridge, SCADA OPC-UA (pilot rig)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3: ML Model Activation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17-22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28 pre-built Forge APM models activated; custom ALDEC models for 2 additional equipment types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4: UAT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23-28</w:t>
            </w:r>
          </w:p>
        </w:tc>
        <w:tc>
          <w:tcPr>
            <w:tcW w:type="dxa" w:w="5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UAT on 2 pilot rigs; &gt;= 87% precision, &gt;= 82% recall target; UAT sign-off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5-6: Fleet Rollout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29-52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35-rig deployment across 3 geographic clusters; Forge Dashboard go-live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7: SAP PM Integration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53-56</w:t>
            </w:r>
          </w:p>
        </w:tc>
        <w:tc>
          <w:tcPr>
            <w:tcW w:type="dxa" w:w="5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PM certified adapter go-live; automated Work Order workflow in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Phase 8: Training &amp; KT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Weeks 57-64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50 ALDEC staff trained; Forge APM administration and model management handover</w:t>
            </w:r>
          </w:p>
        </w:tc>
      </w:tr>
    </w:tbl>
    <w:p>
      <w:pPr>
        <w:spacing w:before="60" w:after="60"/>
      </w:pPr>
      <w:r>
        <w:t xml:space="preserve"/>
      </w:r>
    </w:p>
    <w:p>
      <w:pPr>
        <w:pStyle w:val="Heading1"/>
        <w:pBdr>
          <w:bottom w:val="single" w:color="00703C" w:sz="3" w:space="4"/>
        </w:pBdr>
        <w:spacing w:before="400" w:after="200"/>
      </w:pPr>
      <w:r>
        <w:rPr>
          <w:rFonts w:ascii="Arial" w:cs="Arial" w:eastAsia="Arial" w:hAnsi="Arial"/>
          <w:b/>
          <w:bCs/>
          <w:color w:val="003366"/>
          <w:sz w:val="28"/>
          <w:szCs w:val="28"/>
        </w:rPr>
        <w:t xml:space="preserve">VOLUME 6 —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c>
          <w:tcPr>
            <w:tcW w:type="dxa" w:w="22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Role</w:t>
            </w:r>
          </w:p>
        </w:tc>
        <w:tc>
          <w:tcPr>
            <w:tcW w:type="dxa" w:w="526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Experience</w:t>
            </w:r>
          </w:p>
        </w:tc>
        <w:tc>
          <w:tcPr>
            <w:tcW w:type="dxa" w:w="1900"/>
            <w:tcBorders>
              <w:top w:val="single" w:color="CCCCCC" w:sz="1"/>
              <w:left w:val="single" w:color="CCCCCC" w:sz="1"/>
              <w:bottom w:val="single" w:color="CCCCCC" w:sz="1"/>
              <w:right w:val="single" w:color="CCCCCC" w:sz="1"/>
            </w:tcBorders>
            <w:shd w:fill="003366" w:val="clear"/>
            <w:tcMar>
              <w:top w:type="dxa" w:w="100"/>
              <w:left w:type="dxa" w:w="150"/>
              <w:bottom w:type="dxa" w:w="100"/>
              <w:right w:type="dxa" w:w="150"/>
            </w:tcMar>
          </w:tcPr>
          <w:p>
            <w:r>
              <w:rPr>
                <w:rFonts w:ascii="Arial" w:cs="Arial" w:eastAsia="Arial" w:hAnsi="Arial"/>
                <w:b/>
                <w:bCs/>
                <w:color w:val="FFFFFF"/>
                <w:sz w:val="18"/>
                <w:szCs w:val="18"/>
              </w:rPr>
              <w:t xml:space="preserve">Allocation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Project Director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20 yrs Honifield Process Solutions; KNPC, ADCO, Shell Upstream delivery lead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OT / ICS Lead</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DCS/SCADA specialist; 15 Experion PKS deployments in Middle East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ML / PINN Lead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PhD Mechanical Engineering; 4 SPE papers on PINN drilling equipment (2022-24)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SAP Integration Lead</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Honifield-SAP certified adapter specialist; 6 SAP PM integrations in GCC</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Cybersecurity Lead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Industrial Cybersecurity; IEC 62443 practitioner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Dashboard / UX Lead</w:t>
            </w:r>
          </w:p>
        </w:tc>
        <w:tc>
          <w:tcPr>
            <w:tcW w:type="dxa" w:w="52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Forge Dashboard specialist; 3D P&amp;ID visualization expert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UAE Resident Manager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Honifield Abu Dhabi; Arabic speaker; 12 yrs ALDEC Group account management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000000"/>
                <w:sz w:val="18"/>
                <w:szCs w:val="18"/>
              </w:rPr>
              <w:t xml:space="preserve">100%</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3C" w:sz="4" w:space="4"/>
      </w:pBdr>
      <w:tabs>
        <w:tab w:val="right" w:pos="9026"/>
      </w:tabs>
    </w:pPr>
    <w:r>
      <w:rPr>
        <w:rFonts w:ascii="Arial" w:cs="Arial" w:eastAsia="Arial" w:hAnsi="Arial"/>
        <w:color w:val="888888"/>
        <w:sz w:val="16"/>
        <w:szCs w:val="16"/>
      </w:rPr>
      <w:t xml:space="preserve">Honeywell Process Solutions — AI-Based Predictive Maintenance System Proposal</w:t>
    </w:r>
    <w:r>
      <w:rPr>
        <w:rFonts w:ascii="Arial" w:cs="Arial" w:eastAsia="Arial" w:hAnsi="Arial"/>
        <w:i/>
        <w:iCs/>
        <w:color w:val="AAAAAA"/>
        <w:sz w:val="16"/>
        <w:szCs w:val="16"/>
      </w:rPr>
      <w:t xml:space="preserve">	FICTIONAL — FOR TENDERAI TESTING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3C" w:sz="4" w:space="4"/>
      </w:pBdr>
    </w:pPr>
    <w:r>
      <w:rPr>
        <w:rFonts w:ascii="Arial" w:cs="Arial" w:eastAsia="Arial" w:hAnsi="Arial"/>
        <w:color w:val="888888"/>
        <w:sz w:val="16"/>
        <w:szCs w:val="16"/>
      </w:rPr>
      <w:t xml:space="preserve">HONEYWELL PROCESS SOLUTIONS  |  Response to ADNOC-DTD-2025-RFP-0147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366"/>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00703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2026-02-22T20:17:15.355Z</dcterms:created>
  <dcterms:modified xsi:type="dcterms:W3CDTF">2026-02-22T20:17:15.355Z</dcterms:modified>
</cp:coreProperties>
</file>

<file path=docProps/custom.xml><?xml version="1.0" encoding="utf-8"?>
<Properties xmlns="http://schemas.openxmlformats.org/officeDocument/2006/custom-properties" xmlns:vt="http://schemas.openxmlformats.org/officeDocument/2006/docPropsVTypes"/>
</file>