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0703C"/>
          <w:sz w:val="36"/>
          <w:szCs w:val="36"/>
        </w:rPr>
        <w:t xml:space="preserve">AL DHABI ENERGY CORPORATION</w:t>
      </w:r>
    </w:p>
    <w:p>
      <w:pPr>
        <w:spacing w:before="0" w:after="40"/>
        <w:jc w:val="center"/>
      </w:pPr>
      <w:r>
        <w:rPr>
          <w:rFonts w:ascii="Arial" w:cs="Arial" w:eastAsia="Arial" w:hAnsi="Arial"/>
          <w:b/>
          <w:bCs/>
          <w:color w:val="003366"/>
          <w:sz w:val="22"/>
          <w:szCs w:val="22"/>
        </w:rPr>
        <w:t xml:space="preserve">ALDEC Digital Technology Division</w:t>
      </w:r>
    </w:p>
    <w:p>
      <w:pPr>
        <w:spacing w:before="0" w:after="60"/>
        <w:jc w:val="center"/>
      </w:pPr>
      <w:r>
        <w:rPr>
          <w:rFonts w:ascii="Arial" w:cs="Arial" w:eastAsia="Arial" w:hAnsi="Arial"/>
          <w:color w:val="D9D9D9"/>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4B0082" w:val="clear"/>
            <w:tcMar>
              <w:top w:type="dxa" w:w="500"/>
              <w:left w:type="dxa" w:w="500"/>
              <w:bottom w:type="dxa" w:w="500"/>
              <w:right w:type="dxa" w:w="500"/>
            </w:tcMar>
          </w:tcPr>
          <w:p>
            <w:pPr>
              <w:jc w:val="center"/>
            </w:pPr>
            <w:r>
              <w:rPr>
                <w:rFonts w:ascii="Arial" w:cs="Arial" w:eastAsia="Arial" w:hAnsi="Arial"/>
                <w:b/>
                <w:bCs/>
                <w:color w:val="DDDDDD"/>
                <w:sz w:val="22"/>
                <w:szCs w:val="22"/>
              </w:rPr>
              <w:t xml:space="preserve">RESPONSE TO REQUEST FOR PROPOSAL</w:t>
            </w:r>
          </w:p>
          <w:p>
            <w:pPr>
              <w:spacing w:before="160"/>
              <w:jc w:val="center"/>
            </w:pPr>
            <w:r>
              <w:rPr>
                <w:rFonts w:ascii="Arial" w:cs="Arial" w:eastAsia="Arial" w:hAnsi="Arial"/>
                <w:b/>
                <w:bCs/>
                <w:color w:val="FFFFFF"/>
                <w:sz w:val="40"/>
                <w:szCs w:val="40"/>
              </w:rPr>
              <w:t xml:space="preserve">Accentra Energy Solutions</w:t>
            </w:r>
          </w:p>
          <w:p>
            <w:pPr>
              <w:spacing w:before="120"/>
              <w:jc w:val="center"/>
            </w:pPr>
            <w:r>
              <w:rPr>
                <w:rFonts w:ascii="Arial" w:cs="Arial" w:eastAsia="Arial" w:hAnsi="Arial"/>
                <w:color w:val="C8A951"/>
                <w:sz w:val="24"/>
                <w:szCs w:val="24"/>
              </w:rPr>
              <w:t xml:space="preserve">SynOps for Energy — AI-Powered Asset Performance Platform</w:t>
            </w:r>
          </w:p>
        </w:tc>
      </w:tr>
    </w:tbl>
    <w:p>
      <w:pPr>
        <w:spacing w:before="60" w:after="60"/>
      </w:pPr>
      <w:r>
        <w:t xml:space="preserve"/>
      </w:r>
    </w:p>
    <w:p>
      <w:pPr>
        <w:spacing w:before="200" w:after="60"/>
        <w:jc w:val="center"/>
      </w:pPr>
      <w:r>
        <w:rPr>
          <w:rFonts w:ascii="Arial" w:cs="Arial" w:eastAsia="Arial" w:hAnsi="Arial"/>
          <w:b/>
          <w:bCs/>
          <w:color w:val="003366"/>
          <w:sz w:val="22"/>
          <w:szCs w:val="22"/>
        </w:rPr>
        <w:t xml:space="preserve">In Response to: ALDEC-DTD-2025-RFP-0147</w:t>
      </w:r>
    </w:p>
    <w:p>
      <w:pPr>
        <w:spacing w:before="40" w:after="40"/>
        <w:jc w:val="center"/>
      </w:pPr>
      <w:r>
        <w:rPr>
          <w:rFonts w:ascii="Arial" w:cs="Arial" w:eastAsia="Arial" w:hAnsi="Arial"/>
          <w:color w:val="1A1A2E"/>
          <w:sz w:val="20"/>
          <w:szCs w:val="20"/>
        </w:rPr>
        <w:t xml:space="preserve">Submission Date: 25 February 2025  |  Prepared by: Accentra Middle East LLC, Abu Dhabi</w:t>
      </w:r>
    </w:p>
    <w:p>
      <w:pPr>
        <w:spacing w:before="40" w:after="40"/>
        <w:jc w:val="center"/>
      </w:pPr>
      <w:r>
        <w:rPr>
          <w:rFonts w:ascii="Arial" w:cs="Arial" w:eastAsia="Arial" w:hAnsi="Arial"/>
          <w:b/>
          <w:bCs/>
          <w:i/>
          <w:iCs/>
          <w:color w:val="CC0000"/>
          <w:sz w:val="18"/>
          <w:szCs w:val="18"/>
        </w:rPr>
        <w:t xml:space="preserve">CONFIDENTIAL</w:t>
      </w:r>
    </w:p>
    <w:p>
      <w:r>
        <w:br w:type="page"/>
      </w:r>
    </w:p>
    <w:p>
      <w:pPr>
        <w:spacing w:before="60" w:after="80"/>
      </w:pPr>
      <w:r>
        <w:rPr>
          <w:rFonts w:ascii="Arial" w:cs="Arial" w:eastAsia="Arial" w:hAnsi="Arial"/>
          <w:sz w:val="20"/>
          <w:szCs w:val="20"/>
        </w:rPr>
        <w:t xml:space="preserve">This proposal is submitted by Accentra Energy Solutions, a practice of Accentra plc, in response to ALDEC Digital Technology Division's RFP for an AI-Based Predictive Maintenance System (Reference: ALDEC-DTD-2025-RFP-0147). All contents are proprietary and confidential to Accentra and ALDEC.</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1 — EXECUTIVE SUMMARY</w:t>
      </w:r>
    </w:p>
    <w:p>
      <w:pPr>
        <w:spacing w:before="60" w:after="80"/>
      </w:pPr>
      <w:r>
        <w:rPr>
          <w:rFonts w:ascii="Arial" w:cs="Arial" w:eastAsia="Arial" w:hAnsi="Arial"/>
          <w:sz w:val="20"/>
          <w:szCs w:val="20"/>
        </w:rPr>
        <w:t xml:space="preserve">Accentra Energy Solutions is pleased to submit this proposal for ALDEC's AI-Based Predictive Maintenance System for Drilling Equipment. Powered by our SynOps for Energy platform and underpinned by Google Cloud's world-class AI infrastructure, Accentra offers a differentiated combination of energy industry consulting depth, applied AI capability, and the most commercially competitive total cost of ownership in this tender.</w:t>
      </w:r>
    </w:p>
    <w:p>
      <w:pPr>
        <w:spacing w:before="60" w:after="80"/>
      </w:pPr>
      <w:r>
        <w:rPr>
          <w:rFonts w:ascii="Arial" w:cs="Arial" w:eastAsia="Arial" w:hAnsi="Arial"/>
          <w:sz w:val="20"/>
          <w:szCs w:val="20"/>
        </w:rPr>
        <w:t xml:space="preserve">Our SynOps for Energy platform has been deployed at 11 energy companies across utilities, LNG, upstream, and downstream sectors, demonstrating a proven track record of AI-driven operational improvement. In the UAE, Accentra's Center for Energy Innovation — located in Masdar City, Abu Dhabi — has delivered digital transformation programs for DEWA, Taqa, and Abu Dhabi Ports, establishing deep familiarity with the UAE energy operating environment.</w:t>
      </w:r>
    </w:p>
    <w:p>
      <w:pPr>
        <w:spacing w:before="60" w:after="80"/>
      </w:pPr>
      <w:r>
        <w:rPr>
          <w:rFonts w:ascii="Arial" w:cs="Arial" w:eastAsia="Arial" w:hAnsi="Arial"/>
          <w:sz w:val="20"/>
          <w:szCs w:val="20"/>
        </w:rPr>
        <w:t xml:space="preserve">Accentra's AI methodology leverages Google Cloud Vertex AI's AutoML capabilities to rapidly generate high-accuracy failure prediction models with minimal labeled training data — a significant advantage in the oil &amp; gas context where labeled failure records are often sparse. Our data science team has built and validated predictive maintenance models for over 200 rotating equipment unit types across the energy sector.</w:t>
      </w:r>
    </w:p>
    <w:p>
      <w:pPr>
        <w:spacing w:before="60" w:after="80"/>
      </w:pPr>
      <w:r>
        <w:rPr>
          <w:rFonts w:ascii="Arial" w:cs="Arial" w:eastAsia="Arial" w:hAnsi="Arial"/>
          <w:sz w:val="20"/>
          <w:szCs w:val="20"/>
        </w:rPr>
        <w:t xml:space="preserve">With a 5-year Total Cost of Ownership of USD 7.8 million — the most competitive proposal in this tender — Accentra delivers exceptional value without compromising on AI quality or delivery rigor. Our ISO/IEC 27001:2022 certified practice, combined with our UAE Center for Energy Innovation's local talent pool of 45 professionals, demonstrates our commitment to in-country value and long-term partnership with ALDEC.</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2 — TECHNICAL PROPOSAL</w:t>
      </w:r>
    </w:p>
    <w:p>
      <w:pPr>
        <w:pStyle w:val="Heading2"/>
        <w:spacing w:before="300" w:after="120"/>
      </w:pPr>
      <w:r>
        <w:rPr>
          <w:rFonts w:ascii="Arial" w:cs="Arial" w:eastAsia="Arial" w:hAnsi="Arial"/>
          <w:b/>
          <w:bCs/>
          <w:color w:val="00703C"/>
          <w:sz w:val="24"/>
          <w:szCs w:val="24"/>
        </w:rPr>
        <w:t xml:space="preserve">2.1 Solution Architecture</w:t>
      </w:r>
    </w:p>
    <w:p>
      <w:pPr>
        <w:pStyle w:val="ListParagraph"/>
        <w:numPr>
          <w:ilvl w:val="0"/>
          <w:numId w:val="2"/>
        </w:numPr>
        <w:spacing w:before="40" w:after="40"/>
      </w:pPr>
      <w:r>
        <w:rPr>
          <w:rFonts w:ascii="Arial" w:cs="Arial" w:eastAsia="Arial" w:hAnsi="Arial"/>
          <w:sz w:val="20"/>
          <w:szCs w:val="20"/>
        </w:rPr>
        <w:t xml:space="preserve">Data Ingestion Layer: Accentra SynOps for Energy uses Google Cloud Pub/Sub as the high-throughput event streaming backbone, supporting MQTT protocol for IoT sensor data ingestion. For equipment and systems exposing REST APIs, the SynOps REST Collector provides configurable polling-based data acquisition. Data is ingested from drilling equipment sensors, control systems, and available historian exports into a unified data lake on Google Cloud BigQuery.</w:t>
      </w:r>
    </w:p>
    <w:p>
      <w:pPr>
        <w:pStyle w:val="ListParagraph"/>
        <w:numPr>
          <w:ilvl w:val="0"/>
          <w:numId w:val="2"/>
        </w:numPr>
        <w:spacing w:before="40" w:after="40"/>
      </w:pPr>
      <w:r>
        <w:rPr>
          <w:rFonts w:ascii="Arial" w:cs="Arial" w:eastAsia="Arial" w:hAnsi="Arial"/>
          <w:sz w:val="20"/>
          <w:szCs w:val="20"/>
        </w:rPr>
        <w:t xml:space="preserve">Integration Layer: Accentra's integration architects will design and implement a custom data bridge connecting ALDEC's control system ecosystem to the SynOps platform. SAP Plant Maintenance integration is delivered through Accentra's SAP-connected data pipeline, which extracts maintenance event data from SAP PM on a scheduled basis and synchronizes it into SynOps for correlation with sensor anomalies and model training enrichment. Completed SynOps alerts trigger automated SAP PM records through the scheduled workflow engine.</w:t>
      </w:r>
    </w:p>
    <w:p>
      <w:pPr>
        <w:pStyle w:val="ListParagraph"/>
        <w:numPr>
          <w:ilvl w:val="0"/>
          <w:numId w:val="2"/>
        </w:numPr>
        <w:spacing w:before="40" w:after="40"/>
      </w:pPr>
      <w:r>
        <w:rPr>
          <w:rFonts w:ascii="Arial" w:cs="Arial" w:eastAsia="Arial" w:hAnsi="Arial"/>
          <w:sz w:val="20"/>
          <w:szCs w:val="20"/>
        </w:rPr>
        <w:t xml:space="preserve">AI &amp; Analytics Layer: Google Cloud Vertex AI provides the ML platform, with Vertex AutoML handling automated feature engineering, model selection, and hyperparameter optimization per equipment class. Models are packaged as Docker containers and deployed to Vertex AI Endpoints for scalable inference. Vertex Pipelines orchestrates the MLOps lifecycle including automated retraining triggered by data drift detection (configured on a rolling 30-day window basis).</w:t>
      </w:r>
    </w:p>
    <w:p>
      <w:pPr>
        <w:pStyle w:val="ListParagraph"/>
        <w:numPr>
          <w:ilvl w:val="0"/>
          <w:numId w:val="2"/>
        </w:numPr>
        <w:spacing w:before="40" w:after="40"/>
      </w:pPr>
      <w:r>
        <w:rPr>
          <w:rFonts w:ascii="Arial" w:cs="Arial" w:eastAsia="Arial" w:hAnsi="Arial"/>
          <w:sz w:val="20"/>
          <w:szCs w:val="20"/>
        </w:rPr>
        <w:t xml:space="preserve">Visualization Layer: Looker Studio (Google Data Studio) provides the embedded analytics and dashboard layer within the SynOps portal, delivering configurable role-based views. Accentra's UX team will design ALDEC-specific dashboard layouts for Drilling Engineers, Maintenance Supervisors, and Asset Integrity Managers. The SynOps mobile companion app (iOS) provides field-level alert acknowledgment and work order visibility.</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2.2 AI &amp; ML Methodology</w:t>
      </w:r>
    </w:p>
    <w:p>
      <w:pPr>
        <w:spacing w:before="60" w:after="80"/>
      </w:pPr>
      <w:r>
        <w:rPr>
          <w:rFonts w:ascii="Arial" w:cs="Arial" w:eastAsia="Arial" w:hAnsi="Arial"/>
          <w:sz w:val="20"/>
          <w:szCs w:val="20"/>
        </w:rPr>
        <w:t xml:space="preserve">Accentra's SynOps for Energy AI methodology is built on three pillars:</w:t>
      </w:r>
    </w:p>
    <w:p>
      <w:pPr>
        <w:pStyle w:val="ListParagraph"/>
        <w:numPr>
          <w:ilvl w:val="0"/>
          <w:numId w:val="2"/>
        </w:numPr>
        <w:spacing w:before="40" w:after="40"/>
      </w:pPr>
      <w:r>
        <w:rPr>
          <w:rFonts w:ascii="Arial" w:cs="Arial" w:eastAsia="Arial" w:hAnsi="Arial"/>
          <w:sz w:val="20"/>
          <w:szCs w:val="20"/>
        </w:rPr>
        <w:t xml:space="preserve">Rapid Model Development via AutoML: Vertex AI AutoML evaluates hundreds of model configurations automatically, selecting the optimal architecture per equipment type within days rather than weeks. This approach has delivered &gt;= 82% precision on rotating equipment failure prediction across Accentra's energy deployments.</w:t>
      </w:r>
    </w:p>
    <w:p>
      <w:pPr>
        <w:pStyle w:val="ListParagraph"/>
        <w:numPr>
          <w:ilvl w:val="0"/>
          <w:numId w:val="2"/>
        </w:numPr>
        <w:spacing w:before="40" w:after="40"/>
      </w:pPr>
      <w:r>
        <w:rPr>
          <w:rFonts w:ascii="Arial" w:cs="Arial" w:eastAsia="Arial" w:hAnsi="Arial"/>
          <w:sz w:val="20"/>
          <w:szCs w:val="20"/>
        </w:rPr>
        <w:t xml:space="preserve">Transfer Learning for Data-Sparse Scenarios: For equipment types with limited historical failure records, Accentra applies transfer learning — leveraging pre-trained feature extractors from analogous equipment types to bootstrap model performance.</w:t>
      </w:r>
    </w:p>
    <w:p>
      <w:pPr>
        <w:pStyle w:val="ListParagraph"/>
        <w:numPr>
          <w:ilvl w:val="0"/>
          <w:numId w:val="2"/>
        </w:numPr>
        <w:spacing w:before="40" w:after="40"/>
      </w:pPr>
      <w:r>
        <w:rPr>
          <w:rFonts w:ascii="Arial" w:cs="Arial" w:eastAsia="Arial" w:hAnsi="Arial"/>
          <w:sz w:val="20"/>
          <w:szCs w:val="20"/>
        </w:rPr>
        <w:t xml:space="preserve">Continuous Improvement Pipeline: Vertex Pipelines automates model retraining on a 30-day rolling basis, incorporating new sensor data and maintenance feedback. Model performance is tracked in real-time against baseline metrics in the SynOps Model Registry dashboard.</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Version / Standard</w:t>
            </w:r>
          </w:p>
        </w:tc>
        <w:tc>
          <w:tcPr>
            <w:tcW w:type="dxa" w:w="2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Hosting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AI/ML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 Vertex AI + AutoML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Current GA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Data Streaming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 Pub/Sub (MQTT)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Serverless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Data Lake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 BigQuery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Current GA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MLOps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Vertex Pipelines + Vertex AI Endpoints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Current GA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Custom Integration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Bespoke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Integration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Scheduled SAP data sync pipeline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Configurable cadence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Historian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Scheduled export via available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Per-system config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Looker Studio (Google Data Studio)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Current GA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SynOps Mobile (iOS)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v3.2 (iOS prod.)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Identity &amp; SSO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Workspace Identity (OIDC)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OIDC / MFA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Cloud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europe-west4 (primary)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at Rest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AES-256 (Google CMEK)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FIPS 140-2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Transit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TLS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Enforced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All endpoints</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3 — COMPLIANCE &amp; SECURITY</w:t>
      </w:r>
    </w:p>
    <w:p>
      <w:pPr>
        <w:pStyle w:val="Heading2"/>
        <w:spacing w:before="300" w:after="120"/>
      </w:pPr>
      <w:r>
        <w:rPr>
          <w:rFonts w:ascii="Arial" w:cs="Arial" w:eastAsia="Arial" w:hAnsi="Arial"/>
          <w:b/>
          <w:bCs/>
          <w:color w:val="00703C"/>
          <w:sz w:val="24"/>
          <w:szCs w:val="24"/>
        </w:rPr>
        <w:t xml:space="preserve">3.1 Mandatory Compliance Matrix</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860"/>
      </w:tblGrid>
      <w:tr>
        <w:tc>
          <w:tcPr>
            <w:tcW w:type="dxa" w:w="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Requirement</w:t>
            </w:r>
          </w:p>
        </w:tc>
        <w:tc>
          <w:tcPr>
            <w:tcW w:type="dxa" w:w="4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Accentra Response</w:t>
            </w:r>
          </w:p>
        </w:tc>
        <w:tc>
          <w:tcPr>
            <w:tcW w:type="dxa" w:w="8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Evidence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ISO/IEC 27001:2022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holds valid ISO 27001 certification for its Energy &amp; Utilities practice globally. Cert No. ACC-ISO27001-2023-EU, valid August 2026.</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Registration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Middle East LLC, UAE CR No. CN-3456789, Abu Dhabi. Center for Energy Innovation at Masdar City with 45 UAE-based professionals.</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 O&amp;G PdM References (NPT)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DEWA Generation Asset AI Management, Petrobras Upstream PdM (Campos Basin), Taqa Mirfa Power Station asset analytics. Reference letters enclosed.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Data Residency + DPA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will work with ALDEC to ensure that data handling meets applicable UAE regulatory requirements. Google Cloud's data processing commitments and Accentra's standard Data Processing Addendum are enclosed. Accentra is committed to aligning data residency configurations with ALDEC's requirements as part of the project scoping process.</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Real-Time API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Accentra's integration architects will design and deliver an automated SAP PM integration workflow that synchronizes SynOps alerts with SAP PM records, ensuring maintenance workflows are triggered from the platform. The integration leverages Accentra's deep SAP expertise and will be implemented during Phase 4 of the project.</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 Integration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will work with ALDEC's PI server administrators to implement a data acquisition pathway from the OSIsoft PI environment into the SynOps data lake. Accentra's integration team has experience working with PI data exports and will configure an appropriate ingestion approach during Phase 2.</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&amp; MQTT (both required)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SynOps for Energy natively supports MQTT for real-time sensor data streaming from IoT-enabled drilling equipment. Accentra's integration team will assess OPC-UA connectivity requirements during the architecture phase and implement the appropriate solution to ensure comprehensive equipment data coverage.</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99.9% Uptime SLA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commits to 99.9% monthly platform availability for the SynOps for Energy production environment, backed by Google Cloud's infrastructure SLA.</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MFA Enforced + RBAC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Workspace Identity enforces MFA for all SynOps platform users. The SynOps portal implements configurable RBAC with role definitions aligned to ALDEC's organizational requirements.</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I</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PDPL + ADEO (all 18 domains)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Accentra is committed to compliance with applicable UAE data protection regulations including the UAE PDPL. Our compliance team has reviewed the ADEO Cybersecurity Policy Framework and has mapped Accentra's security controls against the framework's requirements. The compliance mapping is provided in Annex J, addressing the relevant control domains applicable to the proposed solution architecture.</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J</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3.2 Security Architecture</w:t>
      </w:r>
    </w:p>
    <w:p>
      <w:pPr>
        <w:pStyle w:val="ListParagraph"/>
        <w:numPr>
          <w:ilvl w:val="0"/>
          <w:numId w:val="2"/>
        </w:numPr>
        <w:spacing w:before="40" w:after="40"/>
      </w:pPr>
      <w:r>
        <w:rPr>
          <w:rFonts w:ascii="Arial" w:cs="Arial" w:eastAsia="Arial" w:hAnsi="Arial"/>
          <w:sz w:val="20"/>
          <w:szCs w:val="20"/>
        </w:rPr>
        <w:t xml:space="preserve">Google Cloud's security model provides defense-in-depth across all SynOps infrastructure, including VPC isolation, Cloud Armor DDoS protection, and Cloud Security Command Center for threat detection.</w:t>
      </w:r>
    </w:p>
    <w:p>
      <w:pPr>
        <w:pStyle w:val="ListParagraph"/>
        <w:numPr>
          <w:ilvl w:val="0"/>
          <w:numId w:val="2"/>
        </w:numPr>
        <w:spacing w:before="40" w:after="40"/>
      </w:pPr>
      <w:r>
        <w:rPr>
          <w:rFonts w:ascii="Arial" w:cs="Arial" w:eastAsia="Arial" w:hAnsi="Arial"/>
          <w:sz w:val="20"/>
          <w:szCs w:val="20"/>
        </w:rPr>
        <w:t xml:space="preserve">AES-256 encryption at rest using Google Customer-Managed Encryption Keys (CMEK). TLS 1.3 enforced for all data in transit.</w:t>
      </w:r>
    </w:p>
    <w:p>
      <w:pPr>
        <w:pStyle w:val="ListParagraph"/>
        <w:numPr>
          <w:ilvl w:val="0"/>
          <w:numId w:val="2"/>
        </w:numPr>
        <w:spacing w:before="40" w:after="40"/>
      </w:pPr>
      <w:r>
        <w:rPr>
          <w:rFonts w:ascii="Arial" w:cs="Arial" w:eastAsia="Arial" w:hAnsi="Arial"/>
          <w:sz w:val="20"/>
          <w:szCs w:val="20"/>
        </w:rPr>
        <w:t xml:space="preserve">Google Workspace Identity provides MFA with support for TOTP, FIDO2 hardware keys, and push-notification-based second factor.</w:t>
      </w:r>
    </w:p>
    <w:p>
      <w:pPr>
        <w:pStyle w:val="ListParagraph"/>
        <w:numPr>
          <w:ilvl w:val="0"/>
          <w:numId w:val="2"/>
        </w:numPr>
        <w:spacing w:before="40" w:after="40"/>
      </w:pPr>
      <w:r>
        <w:rPr>
          <w:rFonts w:ascii="Arial" w:cs="Arial" w:eastAsia="Arial" w:hAnsi="Arial"/>
          <w:sz w:val="20"/>
          <w:szCs w:val="20"/>
        </w:rPr>
        <w:t xml:space="preserve">Annual security assessments conducted by Accentra Security (formerly Accentra Cyber Defense) with findings reported within 30 days.</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4 — VENDOR QUALIFICATIONS &amp; REFERENCES</w:t>
      </w:r>
    </w:p>
    <w:p>
      <w:pPr>
        <w:pStyle w:val="Heading2"/>
        <w:spacing w:before="300" w:after="120"/>
      </w:pPr>
      <w:r>
        <w:rPr>
          <w:rFonts w:ascii="Arial" w:cs="Arial" w:eastAsia="Arial" w:hAnsi="Arial"/>
          <w:b/>
          <w:bCs/>
          <w:color w:val="00703C"/>
          <w:sz w:val="24"/>
          <w:szCs w:val="24"/>
        </w:rPr>
        <w:t xml:space="preserve">4.1 Corporate Profile</w:t>
      </w:r>
    </w:p>
    <w:p>
      <w:pPr>
        <w:spacing w:before="60" w:after="80"/>
      </w:pPr>
      <w:r>
        <w:rPr>
          <w:rFonts w:ascii="Arial" w:cs="Arial" w:eastAsia="Arial" w:hAnsi="Arial"/>
          <w:sz w:val="20"/>
          <w:szCs w:val="20"/>
        </w:rPr>
        <w:t xml:space="preserve">Accentra plc (NYSE: ACN) is a global professional services company with USD 64.9 billion in revenue (FY2024). Accentra's Energy practice serves over 600 energy clients globally, with deep expertise in AI-driven operational improvement, digital twin implementation, and industrial IoT. The Accentra Center for Energy Innovation in Abu Dhabi was established in 2019 and has grown to 45 professionals focused on UAE energy sector digitalization.</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4.2 Reference Projects</w:t>
      </w:r>
    </w:p>
    <w:p>
      <w:pPr>
        <w:pStyle w:val="Heading3"/>
        <w:spacing w:before="200" w:after="80"/>
      </w:pPr>
      <w:r>
        <w:rPr>
          <w:rFonts w:ascii="Arial" w:cs="Arial" w:eastAsia="Arial" w:hAnsi="Arial"/>
          <w:b/>
          <w:bCs/>
          <w:color w:val="1A1A2E"/>
          <w:sz w:val="22"/>
          <w:szCs w:val="22"/>
        </w:rPr>
        <w:t xml:space="preserve">Reference 1 — Dubai Electricity and Water Authority (DEWA)</w:t>
      </w:r>
    </w:p>
    <w:p>
      <w:pPr>
        <w:spacing w:before="60" w:after="80"/>
      </w:pPr>
      <w:r>
        <w:rPr>
          <w:rFonts w:ascii="Arial" w:cs="Arial" w:eastAsia="Arial" w:hAnsi="Arial"/>
          <w:sz w:val="20"/>
          <w:szCs w:val="20"/>
        </w:rPr>
        <w:t xml:space="preserve">Scope: SynOps Energy AI asset performance management for 200 gas turbine and steam generation units at Jebel Ali Power Station M-Station and L-Station complexes.</w:t>
      </w:r>
    </w:p>
    <w:p>
      <w:pPr>
        <w:spacing w:before="60" w:after="80"/>
      </w:pPr>
      <w:r>
        <w:rPr>
          <w:rFonts w:ascii="Arial" w:cs="Arial" w:eastAsia="Arial" w:hAnsi="Arial"/>
          <w:sz w:val="20"/>
          <w:szCs w:val="20"/>
        </w:rPr>
        <w:t xml:space="preserve">Outcome: 15% maintenance cost reduction over 18 months; automated generation of maintenance recommendations integrated with DEWA's ICM Maximus CMMS.</w:t>
      </w:r>
    </w:p>
    <w:p>
      <w:pPr>
        <w:spacing w:before="60" w:after="80"/>
      </w:pPr>
      <w:r>
        <w:rPr>
          <w:rFonts w:ascii="Arial" w:cs="Arial" w:eastAsia="Arial" w:hAnsi="Arial"/>
          <w:sz w:val="20"/>
          <w:szCs w:val="20"/>
        </w:rPr>
        <w:t xml:space="preserve">Reference Contact: Waleed Al-Mansoori, Executive VP Digital Transformation, DEWA. Reference letter: Annex C1.</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2 — Petrobras S.A., Brazil</w:t>
      </w:r>
    </w:p>
    <w:p>
      <w:pPr>
        <w:spacing w:before="60" w:after="80"/>
      </w:pPr>
      <w:r>
        <w:rPr>
          <w:rFonts w:ascii="Arial" w:cs="Arial" w:eastAsia="Arial" w:hAnsi="Arial"/>
          <w:sz w:val="20"/>
          <w:szCs w:val="20"/>
        </w:rPr>
        <w:t xml:space="preserve">Scope: Accentra SynOps Energy deployment for onshore upstream production operations in the Campos Basin, covering 85 artificial lift pump units and 40 wellhead compressors.</w:t>
      </w:r>
    </w:p>
    <w:p>
      <w:pPr>
        <w:spacing w:before="60" w:after="80"/>
      </w:pPr>
      <w:r>
        <w:rPr>
          <w:rFonts w:ascii="Arial" w:cs="Arial" w:eastAsia="Arial" w:hAnsi="Arial"/>
          <w:sz w:val="20"/>
          <w:szCs w:val="20"/>
        </w:rPr>
        <w:t xml:space="preserve">Outcome: 12% NPT reduction over 12 months; Vertex AI models achieving 81% precision on compressor bearing failure prediction.</w:t>
      </w:r>
    </w:p>
    <w:p>
      <w:pPr>
        <w:spacing w:before="60" w:after="80"/>
      </w:pPr>
      <w:r>
        <w:rPr>
          <w:rFonts w:ascii="Arial" w:cs="Arial" w:eastAsia="Arial" w:hAnsi="Arial"/>
          <w:sz w:val="20"/>
          <w:szCs w:val="20"/>
        </w:rPr>
        <w:t xml:space="preserve">Reference Contact: Ricardo Melo, Digital Operations Director, Petrobras E&amp;P. Reference letter: Annex C2.</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3 — Taqa (Abu Dhabi National Energy Company)</w:t>
      </w:r>
    </w:p>
    <w:p>
      <w:pPr>
        <w:spacing w:before="60" w:after="80"/>
      </w:pPr>
      <w:r>
        <w:rPr>
          <w:rFonts w:ascii="Arial" w:cs="Arial" w:eastAsia="Arial" w:hAnsi="Arial"/>
          <w:sz w:val="20"/>
          <w:szCs w:val="20"/>
        </w:rPr>
        <w:t xml:space="preserve">Scope: Asset performance analytics for Mirfa International Power and Water Desalination Plant, covering turbine and desalination equipment health monitoring.</w:t>
      </w:r>
    </w:p>
    <w:p>
      <w:pPr>
        <w:spacing w:before="60" w:after="80"/>
      </w:pPr>
      <w:r>
        <w:rPr>
          <w:rFonts w:ascii="Arial" w:cs="Arial" w:eastAsia="Arial" w:hAnsi="Arial"/>
          <w:sz w:val="20"/>
          <w:szCs w:val="20"/>
        </w:rPr>
        <w:t xml:space="preserve">Outcome: 11% reduction in unplanned maintenance events; early warning detection for 3 critical turbine anomalies preventing forced outages.</w:t>
      </w:r>
    </w:p>
    <w:p>
      <w:pPr>
        <w:spacing w:before="60" w:after="80"/>
      </w:pPr>
      <w:r>
        <w:rPr>
          <w:rFonts w:ascii="Arial" w:cs="Arial" w:eastAsia="Arial" w:hAnsi="Arial"/>
          <w:sz w:val="20"/>
          <w:szCs w:val="20"/>
        </w:rPr>
        <w:t xml:space="preserve">Reference Contact: James Sherwood, VP Asset Management, Taqa Power. Reference letter: Annex C3.</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5 —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Duration</w:t>
            </w:r>
          </w:p>
        </w:tc>
        <w:tc>
          <w:tcPr>
            <w:tcW w:type="dxa" w:w="59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Key 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0: Kick-Off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Charter, Accentra Agile delivery framework, Google Cloud environment setup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1: Architecture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3-8</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Solution Architecture, Data Model, Integration Design, Security baseline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2: Data 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9-16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MQTT ingestion pipeline, historian data acquisition design, REST API collectors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3: ML Development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17-24</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Vertex AutoML model training: 6 drilling equipment classes; ALDEC-specific feature 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4: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25-30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integration pipeline, UAT on 2 pilot rigs; model acceptance testing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5-6: Fleet Rollout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31-52</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35-rig deployment in 2 phases; SynOps dashboard production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7: Training &amp; KT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53-64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50 ALDEC staff trained; MLOps handover; platform administration workshops</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6 — COMMERCIAL PROPOSAL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340"/>
        <w:gridCol w:w="1340"/>
        <w:gridCol w:w="1340"/>
        <w:gridCol w:w="1340"/>
      </w:tblGrid>
      <w:tr>
        <w:tc>
          <w:tcPr>
            <w:tcW w:type="dxa" w:w="3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Cost Component</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Year 1</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Year 2</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Years 3-5 (p.a.)</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5-Year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SynOps Platform License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1,500,000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Implementation &amp; Delivery</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1,800,000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900,000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2,700,000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Google Cloud Infrastructure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180,000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220,000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1,040,000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Managed Services &amp; Support</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360,000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400,000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1,560,000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Training &amp; Change Management</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300,000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TOTAL 5-YEAR TCO</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7,100,000</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tabs>
        <w:tab w:val="right" w:pos="9026"/>
      </w:tabs>
    </w:pPr>
    <w:r>
      <w:rPr>
        <w:rFonts w:ascii="Arial" w:cs="Arial" w:eastAsia="Arial" w:hAnsi="Arial"/>
        <w:color w:val="888888"/>
        <w:sz w:val="16"/>
        <w:szCs w:val="16"/>
      </w:rPr>
      <w:t xml:space="preserve">Accenture Energy Solutions — AI-Based Predictive Maintenance System Proposal</w:t>
    </w:r>
    <w:r>
      <w:rPr>
        <w:rFonts w:ascii="Arial" w:cs="Arial" w:eastAsia="Arial" w:hAnsi="Arial"/>
        <w:i/>
        <w:iCs/>
        <w:color w:val="AAAAAA"/>
        <w:sz w:val="16"/>
        <w:szCs w:val="16"/>
      </w:rPr>
      <w:t xml:space="preserve">	FICTIONAL — FOR TENDERAI TESTING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3C" w:sz="4" w:space="4"/>
      </w:pBdr>
    </w:pPr>
    <w:r>
      <w:rPr>
        <w:rFonts w:ascii="Arial" w:cs="Arial" w:eastAsia="Arial" w:hAnsi="Arial"/>
        <w:color w:val="888888"/>
        <w:sz w:val="16"/>
        <w:szCs w:val="16"/>
      </w:rPr>
      <w:t xml:space="preserve">ACCENTURE ENERGY SOLUTIONS  |  Response to ADNOC-DTD-2025-RFP-0147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70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2026-02-22T20:17:15.384Z</dcterms:created>
  <dcterms:modified xsi:type="dcterms:W3CDTF">2026-02-22T20:17:15.384Z</dcterms:modified>
</cp:coreProperties>
</file>

<file path=docProps/custom.xml><?xml version="1.0" encoding="utf-8"?>
<Properties xmlns="http://schemas.openxmlformats.org/officeDocument/2006/custom-properties" xmlns:vt="http://schemas.openxmlformats.org/officeDocument/2006/docPropsVTypes"/>
</file>