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ascii="Times New Roman" w:hAnsi="Times New Roman"/>
          <w:b/>
          <w:sz w:val="32"/>
        </w:rPr>
        <w:t xml:space="preserve">Ontological Security in Foreign Policy Formulation: A DIMEFIL-Grounded Perspective and Way Forward for Pakistan</w:t>
      </w:r>
    </w:p>
    <w:bookmarkStart w:id="9" w:name="introduction"/>
    <w:p>
      <w:pPr>
        <w:pStyle w:val="Heading2"/>
      </w:pPr>
      <w:r>
        <w:rPr>
          <w:rFonts w:ascii="Times New Roman" w:hAnsi="Times New Roman"/>
        </w:rPr>
        <w:t xml:space="preserve">Introduction</w:t>
      </w:r>
    </w:p>
    <w:p>
      <w:pPr>
        <w:pStyle w:val="FirstParagraph"/>
      </w:pPr>
      <w:r>
        <w:rPr>
          <w:rFonts w:ascii="Times New Roman" w:hAnsi="Times New Roman"/>
        </w:rPr>
        <w:t xml:space="preserve">States do not only seek survival and material advantage; they also strive for a stable sense of</w:t>
      </w:r>
      <w:r>
        <w:rPr>
          <w:rFonts w:ascii="Times New Roman" w:hAnsi="Times New Roman"/>
        </w:rPr>
        <w:t xml:space="preserve"> </w:t>
      </w:r>
      <w:r>
        <w:rPr>
          <w:rFonts w:ascii="Times New Roman" w:hAnsi="Times New Roman"/>
        </w:rPr>
        <w:t xml:space="preserve">“who we are.”</w:t>
      </w:r>
      <w:r>
        <w:rPr>
          <w:rFonts w:ascii="Times New Roman" w:hAnsi="Times New Roman"/>
        </w:rPr>
        <w:t xml:space="preserve"> </w:t>
      </w:r>
      <w:r>
        <w:rPr>
          <w:rFonts w:ascii="Times New Roman" w:hAnsi="Times New Roman"/>
        </w:rPr>
        <w:t xml:space="preserve">This Perspective argues that ontological security—state needs for identity continuity—shapes foreign policy choices as powerfully as material interests, and it sets out pragmatic options for Pakistan to harness, not be trapped by, identity needs.</w:t>
      </w:r>
    </w:p>
    <w:bookmarkEnd w:id="9"/>
    <w:bookmarkStart w:id="10" w:name="aim"/>
    <w:p>
      <w:pPr>
        <w:pStyle w:val="Heading2"/>
      </w:pPr>
      <w:r>
        <w:rPr>
          <w:rFonts w:ascii="Times New Roman" w:hAnsi="Times New Roman"/>
        </w:rPr>
        <w:t xml:space="preserve">Aim</w:t>
      </w:r>
    </w:p>
    <w:p>
      <w:pPr>
        <w:pStyle w:val="FirstParagraph"/>
      </w:pPr>
      <w:r>
        <w:rPr>
          <w:rFonts w:ascii="Times New Roman" w:hAnsi="Times New Roman"/>
        </w:rPr>
        <w:t xml:space="preserve">This paper explains how ontological security (OS) manifests in foreign policy, diagnoses Pakistan’s OS drivers and risks, and proposes implementable, statecraft-ready measures—mapped to DIMEFIL instruments—to align identity needs with long-term national interests.</w:t>
      </w:r>
    </w:p>
    <w:bookmarkEnd w:id="10"/>
    <w:bookmarkStart w:id="14" w:name="the-issue"/>
    <w:p>
      <w:pPr>
        <w:pStyle w:val="Heading2"/>
      </w:pPr>
      <w:r>
        <w:rPr>
          <w:rFonts w:ascii="Times New Roman" w:hAnsi="Times New Roman"/>
        </w:rPr>
        <w:t xml:space="preserve">The Issue</w:t>
      </w:r>
    </w:p>
    <w:p>
      <w:pPr>
        <w:pStyle w:val="FirstParagraph"/>
      </w:pPr>
      <w:r>
        <w:rPr>
          <w:rFonts w:ascii="Times New Roman" w:hAnsi="Times New Roman"/>
        </w:rPr>
        <w:t xml:space="preserve">Conventional security focuses on territory, capabilities, and threats. Yet many foreign policy behaviors—risk-acceptant stands on status questions; costly signaling to domestic audiences; insistence on narrative red lines—are puzzling if read only through material payoffs. OS scholarship shows states seek continuity of the self: coherent stories, routines, and recognized roles that make their place in the world intelligible and emotionally secure.</w:t>
      </w:r>
      <w:r>
        <w:rPr>
          <w:rStyle w:val="FootnoteReference"/>
          <w:rFonts w:ascii="Times New Roman" w:hAnsi="Times New Roman"/>
        </w:rPr>
        <w:footnoteReference w:id="11"/>
      </w:r>
      <w:r>
        <w:rPr>
          <w:rFonts w:ascii="Times New Roman" w:hAnsi="Times New Roman"/>
        </w:rPr>
        <w:t xml:space="preserve"> </w:t>
      </w:r>
      <w:r>
        <w:rPr>
          <w:rFonts w:ascii="Times New Roman" w:hAnsi="Times New Roman"/>
        </w:rPr>
        <w:t xml:space="preserve">Threats to that narrative continuity generate anxiety, which leaders often mitigate through policy choices that reaffirm identity, even when those choices appear materially costly or escalate risk.</w:t>
      </w:r>
    </w:p>
    <w:p>
      <w:pPr>
        <w:pStyle w:val="BodyText"/>
      </w:pPr>
      <w:r>
        <w:rPr>
          <w:rFonts w:ascii="Times New Roman" w:hAnsi="Times New Roman"/>
        </w:rPr>
        <w:t xml:space="preserve">For Pakistan, the founding narrative as a sovereign homeland for South Asia’s Muslims, perpetual threat perceptions vis-à-vis India, expectations of parity in strategic recognition, and responsibilities toward the wider Muslim world constitute core identity anchors.</w:t>
      </w:r>
      <w:r>
        <w:rPr>
          <w:rStyle w:val="FootnoteReference"/>
          <w:rFonts w:ascii="Times New Roman" w:hAnsi="Times New Roman"/>
        </w:rPr>
        <w:footnoteReference w:id="12"/>
      </w:r>
      <w:r>
        <w:rPr>
          <w:rFonts w:ascii="Times New Roman" w:hAnsi="Times New Roman"/>
        </w:rPr>
        <w:t xml:space="preserve"> </w:t>
      </w:r>
      <w:r>
        <w:rPr>
          <w:rFonts w:ascii="Times New Roman" w:hAnsi="Times New Roman"/>
        </w:rPr>
        <w:t xml:space="preserve">Recurrent shocks—wars and crises with India, the nuclearization of South Asia, the U.S. raid in Abbottabad, FATF grey-listing (2018–2022), the Afghan conflict and refugee flows, and the 2022 climate catastrophe—have periodically unsettled these anchors. In a more fragmented, multipolar system and a harsher information environment, the OS impulse can skew choices toward symbolic firmness over pragmatic flexibility, undercutting economic stabilization,</w:t>
      </w:r>
      <w:r>
        <w:rPr>
          <w:rStyle w:val="FootnoteReference"/>
          <w:rFonts w:ascii="Times New Roman" w:hAnsi="Times New Roman"/>
        </w:rPr>
        <w:footnoteReference w:id="13"/>
      </w:r>
      <w:r>
        <w:rPr>
          <w:rFonts w:ascii="Times New Roman" w:hAnsi="Times New Roman"/>
        </w:rPr>
        <w:t xml:space="preserve"> </w:t>
      </w:r>
      <w:r>
        <w:rPr>
          <w:rFonts w:ascii="Times New Roman" w:hAnsi="Times New Roman"/>
        </w:rPr>
        <w:t xml:space="preserve">diversification of partnerships, or conflict-management gains. The problem, therefore, is not that OS exists—it always does—but that unmanaged OS needs can crowd out material strategy, while well-managed OS can be a powerful asset for credible signaling, coalition-building, and long-range reform.</w:t>
      </w:r>
    </w:p>
    <w:bookmarkEnd w:id="14"/>
    <w:bookmarkStart w:id="19" w:name="theoretical-underpinnings"/>
    <w:p>
      <w:pPr>
        <w:pStyle w:val="Heading2"/>
      </w:pPr>
      <w:r>
        <w:rPr>
          <w:rFonts w:ascii="Times New Roman" w:hAnsi="Times New Roman"/>
        </w:rPr>
        <w:t xml:space="preserve">Theoretical Underpinnings</w:t>
      </w:r>
    </w:p>
    <w:p>
      <w:pPr>
        <w:pStyle w:val="FirstParagraph"/>
      </w:pPr>
      <w:r>
        <w:rPr>
          <w:rFonts w:ascii="Times New Roman" w:hAnsi="Times New Roman"/>
        </w:rPr>
        <w:t xml:space="preserve">Ontological security theory, rooted in sociology and international relations, holds that actors seek</w:t>
      </w:r>
      <w:r>
        <w:rPr>
          <w:rFonts w:ascii="Times New Roman" w:hAnsi="Times New Roman"/>
        </w:rPr>
        <w:t xml:space="preserve"> </w:t>
      </w:r>
      <w:r>
        <w:rPr>
          <w:rFonts w:ascii="Times New Roman" w:hAnsi="Times New Roman"/>
        </w:rPr>
        <w:t xml:space="preserve">“security of being”</w:t>
      </w:r>
      <w:r>
        <w:rPr>
          <w:rFonts w:ascii="Times New Roman" w:hAnsi="Times New Roman"/>
        </w:rPr>
        <w:t xml:space="preserve"> </w:t>
      </w:r>
      <w:r>
        <w:rPr>
          <w:rFonts w:ascii="Times New Roman" w:hAnsi="Times New Roman"/>
        </w:rPr>
        <w:t xml:space="preserve">through routinized practices and coherent autobiographical narratives.</w:t>
      </w:r>
      <w:r>
        <w:rPr>
          <w:rStyle w:val="FootnoteReference"/>
          <w:rFonts w:ascii="Times New Roman" w:hAnsi="Times New Roman"/>
        </w:rPr>
        <w:footnoteReference w:id="15"/>
      </w:r>
      <w:r>
        <w:rPr>
          <w:rFonts w:ascii="Times New Roman" w:hAnsi="Times New Roman"/>
        </w:rPr>
        <w:t xml:space="preserve"> </w:t>
      </w:r>
      <w:r>
        <w:rPr>
          <w:rFonts w:ascii="Times New Roman" w:hAnsi="Times New Roman"/>
        </w:rPr>
        <w:t xml:space="preserve">In anarchy, states often</w:t>
      </w:r>
      <w:r>
        <w:rPr>
          <w:rFonts w:ascii="Times New Roman" w:hAnsi="Times New Roman"/>
        </w:rPr>
        <w:t xml:space="preserve"> </w:t>
      </w:r>
      <w:r>
        <w:rPr>
          <w:rFonts w:ascii="Times New Roman" w:hAnsi="Times New Roman"/>
        </w:rPr>
        <w:t xml:space="preserve">“attach”</w:t>
      </w:r>
      <w:r>
        <w:rPr>
          <w:rFonts w:ascii="Times New Roman" w:hAnsi="Times New Roman"/>
        </w:rPr>
        <w:t xml:space="preserve"> </w:t>
      </w:r>
      <w:r>
        <w:rPr>
          <w:rFonts w:ascii="Times New Roman" w:hAnsi="Times New Roman"/>
        </w:rPr>
        <w:t xml:space="preserve">to relationships—even conflictual ones—because familiar routines reduce anxiety.</w:t>
      </w:r>
      <w:r>
        <w:rPr>
          <w:rStyle w:val="FootnoteReference"/>
          <w:rFonts w:ascii="Times New Roman" w:hAnsi="Times New Roman"/>
        </w:rPr>
        <w:footnoteReference w:id="16"/>
      </w:r>
      <w:r>
        <w:rPr>
          <w:rFonts w:ascii="Times New Roman" w:hAnsi="Times New Roman"/>
        </w:rPr>
        <w:t xml:space="preserve"> </w:t>
      </w:r>
      <w:r>
        <w:rPr>
          <w:rFonts w:ascii="Times New Roman" w:hAnsi="Times New Roman"/>
        </w:rPr>
        <w:t xml:space="preserve">Identity threats can provoke risk-acceptant behavior or narrative repair. Related literatures on securitization</w:t>
      </w:r>
      <w:r>
        <w:rPr>
          <w:rStyle w:val="FootnoteReference"/>
          <w:rFonts w:ascii="Times New Roman" w:hAnsi="Times New Roman"/>
        </w:rPr>
        <w:footnoteReference w:id="17"/>
      </w:r>
      <w:r>
        <w:rPr>
          <w:rFonts w:ascii="Times New Roman" w:hAnsi="Times New Roman"/>
        </w:rPr>
        <w:t xml:space="preserve"> </w:t>
      </w:r>
      <w:r>
        <w:rPr>
          <w:rFonts w:ascii="Times New Roman" w:hAnsi="Times New Roman"/>
        </w:rPr>
        <w:t xml:space="preserve">and status-seeking</w:t>
      </w:r>
      <w:r>
        <w:rPr>
          <w:rStyle w:val="FootnoteReference"/>
          <w:rFonts w:ascii="Times New Roman" w:hAnsi="Times New Roman"/>
        </w:rPr>
        <w:footnoteReference w:id="18"/>
      </w:r>
      <w:r>
        <w:rPr>
          <w:rFonts w:ascii="Times New Roman" w:hAnsi="Times New Roman"/>
        </w:rPr>
        <w:t xml:space="preserve"> </w:t>
      </w:r>
      <w:r>
        <w:rPr>
          <w:rFonts w:ascii="Times New Roman" w:hAnsi="Times New Roman"/>
        </w:rPr>
        <w:t xml:space="preserve">explain how elites frame issues as identity-existential and pursue recognition. Applied to policy, the test is whether choices preserve narrative continuity while expanding material options, rather than freezing them.</w:t>
      </w:r>
    </w:p>
    <w:bookmarkEnd w:id="19"/>
    <w:bookmarkStart w:id="30" w:name="analysis"/>
    <w:p>
      <w:pPr>
        <w:pStyle w:val="Heading2"/>
      </w:pPr>
      <w:r>
        <w:rPr>
          <w:rFonts w:ascii="Times New Roman" w:hAnsi="Times New Roman"/>
        </w:rPr>
        <w:t xml:space="preserve">Analysis</w:t>
      </w:r>
    </w:p>
    <w:bookmarkStart w:id="21" w:name="pakistans-os-drivers-and-narratives"/>
    <w:p>
      <w:pPr>
        <w:pStyle w:val="Heading3"/>
      </w:pPr>
      <w:r>
        <w:rPr>
          <w:rFonts w:ascii="Times New Roman" w:hAnsi="Times New Roman"/>
        </w:rPr>
        <w:t xml:space="preserve">Pakistan’s OS drivers and narratives</w:t>
      </w:r>
    </w:p>
    <w:p>
      <w:pPr>
        <w:pStyle w:val="Compact"/>
        <w:numPr>
          <w:ilvl w:val="0"/>
          <w:numId w:val="1001"/>
        </w:numPr>
      </w:pPr>
      <w:r>
        <w:rPr>
          <w:rFonts w:ascii="Times New Roman" w:hAnsi="Times New Roman"/>
          <w:b/>
          <w:bCs/>
        </w:rPr>
        <w:t xml:space="preserve">Foundational identity and parity:</w:t>
      </w:r>
      <w:r>
        <w:rPr>
          <w:rFonts w:ascii="Times New Roman" w:hAnsi="Times New Roman"/>
        </w:rPr>
        <w:t xml:space="preserve"> </w:t>
      </w:r>
      <w:r>
        <w:rPr>
          <w:rFonts w:ascii="Times New Roman" w:hAnsi="Times New Roman"/>
        </w:rPr>
        <w:t xml:space="preserve">The state’s self-conception emphasizes sovereign Islamic identity and strategic parity with India. This sustains a deterrence-heavy security posture and consistent diplomacy on Kashmir.</w:t>
      </w:r>
    </w:p>
    <w:p>
      <w:pPr>
        <w:pStyle w:val="Compact"/>
        <w:numPr>
          <w:ilvl w:val="0"/>
          <w:numId w:val="1001"/>
        </w:numPr>
      </w:pPr>
      <w:r>
        <w:rPr>
          <w:rFonts w:ascii="Times New Roman" w:hAnsi="Times New Roman"/>
          <w:b/>
          <w:bCs/>
        </w:rPr>
        <w:t xml:space="preserve">Responsibility to the Muslim world:</w:t>
      </w:r>
      <w:r>
        <w:rPr>
          <w:rFonts w:ascii="Times New Roman" w:hAnsi="Times New Roman"/>
        </w:rPr>
        <w:t xml:space="preserve"> </w:t>
      </w:r>
      <w:r>
        <w:rPr>
          <w:rFonts w:ascii="Times New Roman" w:hAnsi="Times New Roman"/>
        </w:rPr>
        <w:t xml:space="preserve">Expectations of solidarity and mediation inside the OIC shape positions on crises from Palestine to OIC reform.</w:t>
      </w:r>
    </w:p>
    <w:p>
      <w:pPr>
        <w:pStyle w:val="Compact"/>
        <w:numPr>
          <w:ilvl w:val="0"/>
          <w:numId w:val="1001"/>
        </w:numPr>
      </w:pPr>
      <w:r>
        <w:rPr>
          <w:rFonts w:ascii="Times New Roman" w:hAnsi="Times New Roman"/>
          <w:b/>
          <w:bCs/>
        </w:rPr>
        <w:t xml:space="preserve">Sovereignty and non-subordination:</w:t>
      </w:r>
      <w:r>
        <w:rPr>
          <w:rFonts w:ascii="Times New Roman" w:hAnsi="Times New Roman"/>
        </w:rPr>
        <w:t xml:space="preserve"> </w:t>
      </w:r>
      <w:r>
        <w:rPr>
          <w:rFonts w:ascii="Times New Roman" w:hAnsi="Times New Roman"/>
        </w:rPr>
        <w:t xml:space="preserve">Episodes interpreted as sovereignty erosion (e.g., the 2011 Abbottabad raid; FATF grey-listing) produce strong identity reactions and reputational repair campaigns.</w:t>
      </w:r>
    </w:p>
    <w:p>
      <w:pPr>
        <w:pStyle w:val="Compact"/>
        <w:numPr>
          <w:ilvl w:val="0"/>
          <w:numId w:val="1001"/>
        </w:numPr>
      </w:pPr>
      <w:r>
        <w:rPr>
          <w:rFonts w:ascii="Times New Roman" w:hAnsi="Times New Roman"/>
          <w:b/>
          <w:bCs/>
        </w:rPr>
        <w:t xml:space="preserve">Resilience and dignity:</w:t>
      </w:r>
      <w:r>
        <w:rPr>
          <w:rFonts w:ascii="Times New Roman" w:hAnsi="Times New Roman"/>
        </w:rPr>
        <w:t xml:space="preserve"> </w:t>
      </w:r>
      <w:r>
        <w:rPr>
          <w:rFonts w:ascii="Times New Roman" w:hAnsi="Times New Roman"/>
        </w:rPr>
        <w:t xml:space="preserve">The 2022 floods that affected roughly 33 million people spurred a dignity-centered climate narrative and leadership on</w:t>
      </w:r>
      <w:r>
        <w:rPr>
          <w:rFonts w:ascii="Times New Roman" w:hAnsi="Times New Roman"/>
        </w:rPr>
        <w:t xml:space="preserve"> </w:t>
      </w:r>
      <w:r>
        <w:rPr>
          <w:rFonts w:ascii="Times New Roman" w:hAnsi="Times New Roman"/>
        </w:rPr>
        <w:t xml:space="preserve">“loss and damage”</w:t>
      </w:r>
      <w:r>
        <w:rPr>
          <w:rFonts w:ascii="Times New Roman" w:hAnsi="Times New Roman"/>
        </w:rPr>
        <w:t xml:space="preserve"> </w:t>
      </w:r>
      <w:r>
        <w:rPr>
          <w:rFonts w:ascii="Times New Roman" w:hAnsi="Times New Roman"/>
        </w:rPr>
        <w:t xml:space="preserve">financing.</w:t>
      </w:r>
      <w:r>
        <w:rPr>
          <w:rStyle w:val="FootnoteReference"/>
          <w:rFonts w:ascii="Times New Roman" w:hAnsi="Times New Roman"/>
        </w:rPr>
        <w:footnoteReference w:id="20"/>
      </w:r>
    </w:p>
    <w:bookmarkEnd w:id="21"/>
    <w:bookmarkStart w:id="27" w:name="Xc2c843bc051af725fbf05cdfb70f260447ba03a"/>
    <w:p>
      <w:pPr>
        <w:pStyle w:val="Heading3"/>
      </w:pPr>
      <w:r>
        <w:rPr>
          <w:rFonts w:ascii="Times New Roman" w:hAnsi="Times New Roman"/>
        </w:rPr>
        <w:t xml:space="preserve">Salient constraints and facts that interact with OS needs</w:t>
      </w:r>
    </w:p>
    <w:p>
      <w:pPr>
        <w:pStyle w:val="Compact"/>
        <w:numPr>
          <w:ilvl w:val="0"/>
          <w:numId w:val="1002"/>
        </w:numPr>
      </w:pPr>
      <w:r>
        <w:rPr>
          <w:rFonts w:ascii="Times New Roman" w:hAnsi="Times New Roman"/>
          <w:b/>
          <w:bCs/>
        </w:rPr>
        <w:t xml:space="preserve">Economic structure:</w:t>
      </w:r>
      <w:r>
        <w:rPr>
          <w:rFonts w:ascii="Times New Roman" w:hAnsi="Times New Roman"/>
        </w:rPr>
        <w:t xml:space="preserve"> </w:t>
      </w:r>
      <w:r>
        <w:rPr>
          <w:rFonts w:ascii="Times New Roman" w:hAnsi="Times New Roman"/>
        </w:rPr>
        <w:t xml:space="preserve">The United States and the European Union remain Pakistan’s largest export markets, while China is the largest source of imports and a key creditor/investor via CPEC.</w:t>
      </w:r>
      <w:r>
        <w:rPr>
          <w:rStyle w:val="FootnoteReference"/>
          <w:rFonts w:ascii="Times New Roman" w:hAnsi="Times New Roman"/>
        </w:rPr>
        <w:footnoteReference w:id="22"/>
      </w:r>
      <w:r>
        <w:rPr>
          <w:rFonts w:ascii="Times New Roman" w:hAnsi="Times New Roman"/>
        </w:rPr>
        <w:t xml:space="preserve"> </w:t>
      </w:r>
      <w:r>
        <w:rPr>
          <w:rFonts w:ascii="Times New Roman" w:hAnsi="Times New Roman"/>
        </w:rPr>
        <w:t xml:space="preserve">Workers’ remittances of about $27–31 billion annually are a critical lifeline.</w:t>
      </w:r>
      <w:r>
        <w:rPr>
          <w:rStyle w:val="FootnoteReference"/>
          <w:rFonts w:ascii="Times New Roman" w:hAnsi="Times New Roman"/>
        </w:rPr>
        <w:footnoteReference w:id="23"/>
      </w:r>
    </w:p>
    <w:p>
      <w:pPr>
        <w:pStyle w:val="Compact"/>
        <w:numPr>
          <w:ilvl w:val="0"/>
          <w:numId w:val="1002"/>
        </w:numPr>
      </w:pPr>
      <w:r>
        <w:rPr>
          <w:rFonts w:ascii="Times New Roman" w:hAnsi="Times New Roman"/>
          <w:b/>
          <w:bCs/>
        </w:rPr>
        <w:t xml:space="preserve">Security posture:</w:t>
      </w:r>
      <w:r>
        <w:rPr>
          <w:rFonts w:ascii="Times New Roman" w:hAnsi="Times New Roman"/>
        </w:rPr>
        <w:t xml:space="preserve"> </w:t>
      </w:r>
      <w:r>
        <w:rPr>
          <w:rFonts w:ascii="Times New Roman" w:hAnsi="Times New Roman"/>
        </w:rPr>
        <w:t xml:space="preserve">Military expenditure has hovered around the mid-3% share of GDP in recent years; Pakistan fields an estimated 170–180 nuclear warheads.</w:t>
      </w:r>
      <w:r>
        <w:rPr>
          <w:rStyle w:val="FootnoteReference"/>
          <w:rFonts w:ascii="Times New Roman" w:hAnsi="Times New Roman"/>
        </w:rPr>
        <w:footnoteReference w:id="24"/>
      </w:r>
    </w:p>
    <w:p>
      <w:pPr>
        <w:pStyle w:val="Compact"/>
        <w:numPr>
          <w:ilvl w:val="0"/>
          <w:numId w:val="1002"/>
        </w:numPr>
      </w:pPr>
      <w:r>
        <w:rPr>
          <w:rFonts w:ascii="Times New Roman" w:hAnsi="Times New Roman"/>
          <w:b/>
          <w:bCs/>
        </w:rPr>
        <w:t xml:space="preserve">Regional exposure:</w:t>
      </w:r>
      <w:r>
        <w:rPr>
          <w:rFonts w:ascii="Times New Roman" w:hAnsi="Times New Roman"/>
        </w:rPr>
        <w:t xml:space="preserve"> </w:t>
      </w:r>
      <w:r>
        <w:rPr>
          <w:rFonts w:ascii="Times New Roman" w:hAnsi="Times New Roman"/>
        </w:rPr>
        <w:t xml:space="preserve">Pakistan hosts one of the world’s largest Afghan refugee populations—over 3 million across categories</w:t>
      </w:r>
      <w:r>
        <w:rPr>
          <w:rStyle w:val="FootnoteReference"/>
          <w:rFonts w:ascii="Times New Roman" w:hAnsi="Times New Roman"/>
        </w:rPr>
        <w:footnoteReference w:id="25"/>
      </w:r>
      <w:r>
        <w:rPr>
          <w:rFonts w:ascii="Times New Roman" w:hAnsi="Times New Roman"/>
        </w:rPr>
        <w:t xml:space="preserve">—and faces cross-border militancy risks.</w:t>
      </w:r>
    </w:p>
    <w:p>
      <w:pPr>
        <w:pStyle w:val="Compact"/>
        <w:numPr>
          <w:ilvl w:val="0"/>
          <w:numId w:val="1002"/>
        </w:numPr>
      </w:pPr>
      <w:r>
        <w:rPr>
          <w:rFonts w:ascii="Times New Roman" w:hAnsi="Times New Roman"/>
          <w:b/>
          <w:bCs/>
        </w:rPr>
        <w:t xml:space="preserve">Financial reputation:</w:t>
      </w:r>
      <w:r>
        <w:rPr>
          <w:rFonts w:ascii="Times New Roman" w:hAnsi="Times New Roman"/>
        </w:rPr>
        <w:t xml:space="preserve"> </w:t>
      </w:r>
      <w:r>
        <w:rPr>
          <w:rFonts w:ascii="Times New Roman" w:hAnsi="Times New Roman"/>
        </w:rPr>
        <w:t xml:space="preserve">Removal from the FATF grey list in 2022 restored room for maneuver but also created a reputational standard to maintain.</w:t>
      </w:r>
      <w:r>
        <w:rPr>
          <w:rStyle w:val="FootnoteReference"/>
          <w:rFonts w:ascii="Times New Roman" w:hAnsi="Times New Roman"/>
        </w:rPr>
        <w:footnoteReference w:id="26"/>
      </w:r>
    </w:p>
    <w:bookmarkEnd w:id="27"/>
    <w:bookmarkStart w:id="28" w:name="Xa567fba8bb756f7039603d2c84f8f6628c19179"/>
    <w:p>
      <w:pPr>
        <w:pStyle w:val="Heading3"/>
      </w:pPr>
      <w:r>
        <w:rPr>
          <w:rFonts w:ascii="Times New Roman" w:hAnsi="Times New Roman"/>
        </w:rPr>
        <w:t xml:space="preserve">DIMEFIL mapping: how identity needs show up and where frictions arise</w:t>
      </w:r>
    </w:p>
    <w:p>
      <w:pPr>
        <w:pStyle w:val="Compact"/>
        <w:numPr>
          <w:ilvl w:val="0"/>
          <w:numId w:val="1003"/>
        </w:numPr>
      </w:pPr>
      <w:r>
        <w:rPr>
          <w:rFonts w:ascii="Times New Roman" w:hAnsi="Times New Roman"/>
          <w:b/>
          <w:bCs/>
        </w:rPr>
        <w:t xml:space="preserve">Diplomatic:</w:t>
      </w:r>
      <w:r>
        <w:rPr>
          <w:rFonts w:ascii="Times New Roman" w:hAnsi="Times New Roman"/>
        </w:rPr>
        <w:t xml:space="preserve"> </w:t>
      </w:r>
      <w:r>
        <w:rPr>
          <w:rFonts w:ascii="Times New Roman" w:hAnsi="Times New Roman"/>
        </w:rPr>
        <w:t xml:space="preserve">Consistent advocacy on Kashmir and Palestine reinforces identity continuity and domestic cohesion. However, the form of advocacy matters: message discipline and coalition-building can advance aims; zero-sum stance-taking can foreclose issue-linkages with trade, climate, or connectivity.</w:t>
      </w:r>
    </w:p>
    <w:p>
      <w:pPr>
        <w:pStyle w:val="Compact"/>
        <w:numPr>
          <w:ilvl w:val="0"/>
          <w:numId w:val="1003"/>
        </w:numPr>
      </w:pPr>
      <w:r>
        <w:rPr>
          <w:rFonts w:ascii="Times New Roman" w:hAnsi="Times New Roman"/>
          <w:b/>
          <w:bCs/>
        </w:rPr>
        <w:t xml:space="preserve">Information:</w:t>
      </w:r>
      <w:r>
        <w:rPr>
          <w:rFonts w:ascii="Times New Roman" w:hAnsi="Times New Roman"/>
        </w:rPr>
        <w:t xml:space="preserve"> </w:t>
      </w:r>
      <w:r>
        <w:rPr>
          <w:rFonts w:ascii="Times New Roman" w:hAnsi="Times New Roman"/>
        </w:rPr>
        <w:t xml:space="preserve">Narrative sovereignty is central—who tells Pakistan’s story abroad? Diaspora communities (over 9 million globally), social media, and external media ecosystems shape perceived identity. Disinformation in the region magnifies OS anxiety and complicates crisis signaling.</w:t>
      </w:r>
    </w:p>
    <w:p>
      <w:pPr>
        <w:pStyle w:val="Compact"/>
        <w:numPr>
          <w:ilvl w:val="0"/>
          <w:numId w:val="1003"/>
        </w:numPr>
      </w:pPr>
      <w:r>
        <w:rPr>
          <w:rFonts w:ascii="Times New Roman" w:hAnsi="Times New Roman"/>
          <w:b/>
          <w:bCs/>
        </w:rPr>
        <w:t xml:space="preserve">Military:</w:t>
      </w:r>
      <w:r>
        <w:rPr>
          <w:rFonts w:ascii="Times New Roman" w:hAnsi="Times New Roman"/>
        </w:rPr>
        <w:t xml:space="preserve"> </w:t>
      </w:r>
      <w:r>
        <w:rPr>
          <w:rFonts w:ascii="Times New Roman" w:hAnsi="Times New Roman"/>
        </w:rPr>
        <w:t xml:space="preserve">Deterrence and conventional-nuclear integration embody the parity narrative. Routine readiness and visible red-lines reduce anxiety but carry escalation risks; they also influence fiscal space and creditors’ risk pricing.</w:t>
      </w:r>
    </w:p>
    <w:p>
      <w:pPr>
        <w:pStyle w:val="Compact"/>
        <w:numPr>
          <w:ilvl w:val="0"/>
          <w:numId w:val="1003"/>
        </w:numPr>
      </w:pPr>
      <w:r>
        <w:rPr>
          <w:rFonts w:ascii="Times New Roman" w:hAnsi="Times New Roman"/>
          <w:b/>
          <w:bCs/>
        </w:rPr>
        <w:t xml:space="preserve">Economic:</w:t>
      </w:r>
      <w:r>
        <w:rPr>
          <w:rFonts w:ascii="Times New Roman" w:hAnsi="Times New Roman"/>
        </w:rPr>
        <w:t xml:space="preserve"> </w:t>
      </w:r>
      <w:r>
        <w:rPr>
          <w:rFonts w:ascii="Times New Roman" w:hAnsi="Times New Roman"/>
        </w:rPr>
        <w:t xml:space="preserve">The autonomy narrative can clash with economic dependence realities. Export access relies on Western markets and standards; capex and energy often rely on China and Gulf partners. Balancing these without framing it as subordination is an OS management task.</w:t>
      </w:r>
    </w:p>
    <w:p>
      <w:pPr>
        <w:pStyle w:val="Compact"/>
        <w:numPr>
          <w:ilvl w:val="0"/>
          <w:numId w:val="1003"/>
        </w:numPr>
      </w:pPr>
      <w:r>
        <w:rPr>
          <w:rFonts w:ascii="Times New Roman" w:hAnsi="Times New Roman"/>
          <w:b/>
          <w:bCs/>
        </w:rPr>
        <w:t xml:space="preserve">Financial:</w:t>
      </w:r>
      <w:r>
        <w:rPr>
          <w:rFonts w:ascii="Times New Roman" w:hAnsi="Times New Roman"/>
        </w:rPr>
        <w:t xml:space="preserve"> </w:t>
      </w:r>
      <w:r>
        <w:rPr>
          <w:rFonts w:ascii="Times New Roman" w:hAnsi="Times New Roman"/>
        </w:rPr>
        <w:t xml:space="preserve">Post-FATF compliance is not only technical; it is identity maintenance as a responsible financial jurisdiction. Any slippage re-triggers OS repair behavior that is costly and credibility-eroding.</w:t>
      </w:r>
    </w:p>
    <w:p>
      <w:pPr>
        <w:pStyle w:val="Compact"/>
        <w:numPr>
          <w:ilvl w:val="0"/>
          <w:numId w:val="1003"/>
        </w:numPr>
      </w:pPr>
      <w:r>
        <w:rPr>
          <w:rFonts w:ascii="Times New Roman" w:hAnsi="Times New Roman"/>
          <w:b/>
          <w:bCs/>
        </w:rPr>
        <w:t xml:space="preserve">Intelligence:</w:t>
      </w:r>
      <w:r>
        <w:rPr>
          <w:rFonts w:ascii="Times New Roman" w:hAnsi="Times New Roman"/>
        </w:rPr>
        <w:t xml:space="preserve"> </w:t>
      </w:r>
      <w:r>
        <w:rPr>
          <w:rFonts w:ascii="Times New Roman" w:hAnsi="Times New Roman"/>
        </w:rPr>
        <w:t xml:space="preserve">Historical ties across the Afghan theater intersect with sovereignty narratives and great-power expectations. Alignment choices must square with the identity of a rule-abiding, non-proxy state.</w:t>
      </w:r>
    </w:p>
    <w:p>
      <w:pPr>
        <w:pStyle w:val="Compact"/>
        <w:numPr>
          <w:ilvl w:val="0"/>
          <w:numId w:val="1003"/>
        </w:numPr>
      </w:pPr>
      <w:r>
        <w:rPr>
          <w:rFonts w:ascii="Times New Roman" w:hAnsi="Times New Roman"/>
          <w:b/>
          <w:bCs/>
        </w:rPr>
        <w:t xml:space="preserve">Law-enforcement:</w:t>
      </w:r>
      <w:r>
        <w:rPr>
          <w:rFonts w:ascii="Times New Roman" w:hAnsi="Times New Roman"/>
        </w:rPr>
        <w:t xml:space="preserve"> </w:t>
      </w:r>
      <w:r>
        <w:rPr>
          <w:rFonts w:ascii="Times New Roman" w:hAnsi="Times New Roman"/>
        </w:rPr>
        <w:t xml:space="preserve">Domestic stabilization and counter-extremism are read externally as identity signals. Over-securitization can backfire internationally; under-enforcement harms domestic ontological assurance.</w:t>
      </w:r>
    </w:p>
    <w:bookmarkEnd w:id="28"/>
    <w:bookmarkStart w:id="29" w:name="strategic-implications-and-future-trends"/>
    <w:p>
      <w:pPr>
        <w:pStyle w:val="Heading3"/>
      </w:pPr>
      <w:r>
        <w:rPr>
          <w:rFonts w:ascii="Times New Roman" w:hAnsi="Times New Roman"/>
        </w:rPr>
        <w:t xml:space="preserve">Strategic implications and future trends</w:t>
      </w:r>
    </w:p>
    <w:p>
      <w:pPr>
        <w:pStyle w:val="Compact"/>
        <w:numPr>
          <w:ilvl w:val="0"/>
          <w:numId w:val="1004"/>
        </w:numPr>
      </w:pPr>
      <w:r>
        <w:rPr>
          <w:rFonts w:ascii="Times New Roman" w:hAnsi="Times New Roman"/>
        </w:rPr>
        <w:t xml:space="preserve">Multipolarity increases</w:t>
      </w:r>
      <w:r>
        <w:rPr>
          <w:rFonts w:ascii="Times New Roman" w:hAnsi="Times New Roman"/>
        </w:rPr>
        <w:t xml:space="preserve"> </w:t>
      </w:r>
      <w:r>
        <w:rPr>
          <w:rFonts w:ascii="Times New Roman" w:hAnsi="Times New Roman"/>
        </w:rPr>
        <w:t xml:space="preserve">“narrative competition.”</w:t>
      </w:r>
      <w:r>
        <w:rPr>
          <w:rFonts w:ascii="Times New Roman" w:hAnsi="Times New Roman"/>
        </w:rPr>
        <w:t xml:space="preserve"> </w:t>
      </w:r>
      <w:r>
        <w:rPr>
          <w:rFonts w:ascii="Times New Roman" w:hAnsi="Times New Roman"/>
        </w:rPr>
        <w:t xml:space="preserve">As U.S.–China rivalry intensifies, so does pressure to declare identity-laden sides. A refined</w:t>
      </w:r>
      <w:r>
        <w:rPr>
          <w:rFonts w:ascii="Times New Roman" w:hAnsi="Times New Roman"/>
        </w:rPr>
        <w:t xml:space="preserve"> </w:t>
      </w:r>
      <w:r>
        <w:rPr>
          <w:rFonts w:ascii="Times New Roman" w:hAnsi="Times New Roman"/>
        </w:rPr>
        <w:t xml:space="preserve">“connectivity and resilience”</w:t>
      </w:r>
      <w:r>
        <w:rPr>
          <w:rFonts w:ascii="Times New Roman" w:hAnsi="Times New Roman"/>
        </w:rPr>
        <w:t xml:space="preserve"> </w:t>
      </w:r>
      <w:r>
        <w:rPr>
          <w:rFonts w:ascii="Times New Roman" w:hAnsi="Times New Roman"/>
        </w:rPr>
        <w:t xml:space="preserve">identity can legitimize multi-alignment without signaling duplicity.</w:t>
      </w:r>
    </w:p>
    <w:p>
      <w:pPr>
        <w:pStyle w:val="Compact"/>
        <w:numPr>
          <w:ilvl w:val="0"/>
          <w:numId w:val="1004"/>
        </w:numPr>
      </w:pPr>
      <w:r>
        <w:rPr>
          <w:rFonts w:ascii="Times New Roman" w:hAnsi="Times New Roman"/>
        </w:rPr>
        <w:t xml:space="preserve">The information battlespace collapses foreign and domestic audiences. Crises with India or Afghanistan will now be fought as much in real-time narrative competition as on ground or at the UN.</w:t>
      </w:r>
    </w:p>
    <w:p>
      <w:pPr>
        <w:pStyle w:val="Compact"/>
        <w:numPr>
          <w:ilvl w:val="0"/>
          <w:numId w:val="1004"/>
        </w:numPr>
      </w:pPr>
      <w:r>
        <w:rPr>
          <w:rFonts w:ascii="Times New Roman" w:hAnsi="Times New Roman"/>
        </w:rPr>
        <w:t xml:space="preserve">Climate identity will become a major OS pillar. Leadership on loss-and-damage finance and climate adaptation offers a non-zero-sum identity role that attracts investment and prestige.</w:t>
      </w:r>
    </w:p>
    <w:p>
      <w:pPr>
        <w:pStyle w:val="Compact"/>
        <w:numPr>
          <w:ilvl w:val="0"/>
          <w:numId w:val="1004"/>
        </w:numPr>
      </w:pPr>
      <w:r>
        <w:rPr>
          <w:rFonts w:ascii="Times New Roman" w:hAnsi="Times New Roman"/>
        </w:rPr>
        <w:t xml:space="preserve">Economic statecraft will remain identity-sensitive. Deepening standards compliance for exports, financial transparency, and dispute-resolution credibility are simultaneously material enablers and identity anchors of a</w:t>
      </w:r>
      <w:r>
        <w:rPr>
          <w:rFonts w:ascii="Times New Roman" w:hAnsi="Times New Roman"/>
        </w:rPr>
        <w:t xml:space="preserve"> </w:t>
      </w:r>
      <w:r>
        <w:rPr>
          <w:rFonts w:ascii="Times New Roman" w:hAnsi="Times New Roman"/>
        </w:rPr>
        <w:t xml:space="preserve">“responsible, investable Pakistan.”</w:t>
      </w:r>
    </w:p>
    <w:bookmarkEnd w:id="29"/>
    <w:bookmarkEnd w:id="30"/>
    <w:bookmarkStart w:id="31" w:name="X90a89ed0208af27fb8ca71c7a45cff77a330fcc"/>
    <w:p>
      <w:pPr>
        <w:pStyle w:val="Heading2"/>
      </w:pPr>
      <w:r>
        <w:rPr>
          <w:rFonts w:ascii="Times New Roman" w:hAnsi="Times New Roman"/>
        </w:rPr>
        <w:t xml:space="preserve">Recommendations / Policy Options / Way Forward</w:t>
      </w:r>
    </w:p>
    <w:p>
      <w:pPr>
        <w:pStyle w:val="FirstParagraph"/>
      </w:pPr>
      <w:r>
        <w:rPr>
          <w:rFonts w:ascii="Times New Roman" w:hAnsi="Times New Roman"/>
        </w:rPr>
        <w:t xml:space="preserve">The organizing principle is to make ontological security an enabler of strategy, not a substitute for it. Options are mapped to DIMEFIL instruments, with concrete actions.</w:t>
      </w:r>
    </w:p>
    <w:p>
      <w:pPr>
        <w:pStyle w:val="Compact"/>
        <w:numPr>
          <w:ilvl w:val="0"/>
          <w:numId w:val="1005"/>
        </w:numPr>
      </w:pPr>
      <w:r>
        <w:rPr>
          <w:rFonts w:ascii="Times New Roman" w:hAnsi="Times New Roman"/>
          <w:b/>
          <w:bCs/>
        </w:rPr>
        <w:t xml:space="preserve">Establish a National Strategic Narrative Council (Diplomatic/Information).</w:t>
      </w:r>
      <w:r>
        <w:rPr>
          <w:rFonts w:ascii="Times New Roman" w:hAnsi="Times New Roman"/>
        </w:rPr>
        <w:t xml:space="preserve"> </w:t>
      </w:r>
      <w:r>
        <w:rPr>
          <w:rFonts w:ascii="Times New Roman" w:hAnsi="Times New Roman"/>
        </w:rPr>
        <w:t xml:space="preserve">Mandate: codify a concise identity proposition—</w:t>
      </w:r>
      <w:r>
        <w:rPr>
          <w:rFonts w:ascii="Times New Roman" w:hAnsi="Times New Roman"/>
        </w:rPr>
        <w:t xml:space="preserve">“sovereign, connected, climate-resilient Pakistan”</w:t>
      </w:r>
      <w:r>
        <w:rPr>
          <w:rFonts w:ascii="Times New Roman" w:hAnsi="Times New Roman"/>
        </w:rPr>
        <w:t xml:space="preserve">—and align foreign-policy messaging across ministries and missions. Deliverables: annual narrative priorities; talking-points banks; crisis lexicon; partner-specific messaging maps.</w:t>
      </w:r>
    </w:p>
    <w:p>
      <w:pPr>
        <w:pStyle w:val="Compact"/>
        <w:numPr>
          <w:ilvl w:val="0"/>
          <w:numId w:val="1005"/>
        </w:numPr>
      </w:pPr>
      <w:r>
        <w:rPr>
          <w:rFonts w:ascii="Times New Roman" w:hAnsi="Times New Roman"/>
          <w:b/>
          <w:bCs/>
        </w:rPr>
        <w:t xml:space="preserve">Institutionalize OS-aware crisis management with India (Diplomatic/Military/Information).</w:t>
      </w:r>
      <w:r>
        <w:rPr>
          <w:rFonts w:ascii="Times New Roman" w:hAnsi="Times New Roman"/>
        </w:rPr>
        <w:t xml:space="preserve"> </w:t>
      </w:r>
      <w:r>
        <w:rPr>
          <w:rFonts w:ascii="Times New Roman" w:hAnsi="Times New Roman"/>
        </w:rPr>
        <w:t xml:space="preserve">Actions: pre-agree public vocabulary, de-escalation rungs, and media protocols; expand backchannels for misperception management; conduct annual table-top exercises including social-media cells. Payoff: preserves dignity narratives while reducing inadvertent escalation and market panic.</w:t>
      </w:r>
    </w:p>
    <w:p>
      <w:pPr>
        <w:pStyle w:val="Compact"/>
        <w:numPr>
          <w:ilvl w:val="0"/>
          <w:numId w:val="1005"/>
        </w:numPr>
      </w:pPr>
      <w:r>
        <w:rPr>
          <w:rFonts w:ascii="Times New Roman" w:hAnsi="Times New Roman"/>
          <w:b/>
          <w:bCs/>
        </w:rPr>
        <w:t xml:space="preserve">Convert FATF compliance into a</w:t>
      </w:r>
      <w:r>
        <w:rPr>
          <w:rFonts w:ascii="Times New Roman" w:hAnsi="Times New Roman"/>
          <w:b/>
          <w:bCs/>
        </w:rPr>
        <w:t xml:space="preserve"> </w:t>
      </w:r>
      <w:r>
        <w:rPr>
          <w:rFonts w:ascii="Times New Roman" w:hAnsi="Times New Roman"/>
          <w:b/>
          <w:bCs/>
        </w:rPr>
        <w:t xml:space="preserve">“reputation dividend”</w:t>
      </w:r>
      <w:r>
        <w:rPr>
          <w:rFonts w:ascii="Times New Roman" w:hAnsi="Times New Roman"/>
          <w:b/>
          <w:bCs/>
        </w:rPr>
        <w:t xml:space="preserve"> </w:t>
      </w:r>
      <w:r>
        <w:rPr>
          <w:rFonts w:ascii="Times New Roman" w:hAnsi="Times New Roman"/>
          <w:b/>
          <w:bCs/>
        </w:rPr>
        <w:t xml:space="preserve">(Financial/Law-enforcement).</w:t>
      </w:r>
      <w:r>
        <w:rPr>
          <w:rFonts w:ascii="Times New Roman" w:hAnsi="Times New Roman"/>
        </w:rPr>
        <w:t xml:space="preserve"> </w:t>
      </w:r>
      <w:r>
        <w:rPr>
          <w:rFonts w:ascii="Times New Roman" w:hAnsi="Times New Roman"/>
        </w:rPr>
        <w:t xml:space="preserve">Actions: publish a rolling</w:t>
      </w:r>
      <w:r>
        <w:rPr>
          <w:rFonts w:ascii="Times New Roman" w:hAnsi="Times New Roman"/>
        </w:rPr>
        <w:t xml:space="preserve"> </w:t>
      </w:r>
      <w:r>
        <w:rPr>
          <w:rFonts w:ascii="Times New Roman" w:hAnsi="Times New Roman"/>
        </w:rPr>
        <w:t xml:space="preserve">“FATF-plus”</w:t>
      </w:r>
      <w:r>
        <w:rPr>
          <w:rFonts w:ascii="Times New Roman" w:hAnsi="Times New Roman"/>
        </w:rPr>
        <w:t xml:space="preserve"> </w:t>
      </w:r>
      <w:r>
        <w:rPr>
          <w:rFonts w:ascii="Times New Roman" w:hAnsi="Times New Roman"/>
        </w:rPr>
        <w:t xml:space="preserve">transparency plan; adopt beneficial-ownership registries; institutionalize suspicious-transaction analytics; invite peer reviews. Payoff: locks in the identity of a responsible jurisdiction; lowers risk premia; eases correspondent banking.</w:t>
      </w:r>
    </w:p>
    <w:p>
      <w:pPr>
        <w:pStyle w:val="Compact"/>
        <w:numPr>
          <w:ilvl w:val="0"/>
          <w:numId w:val="1005"/>
        </w:numPr>
      </w:pPr>
      <w:r>
        <w:rPr>
          <w:rFonts w:ascii="Times New Roman" w:hAnsi="Times New Roman"/>
          <w:b/>
          <w:bCs/>
        </w:rPr>
        <w:t xml:space="preserve">Reframe CPEC Phase II as</w:t>
      </w:r>
      <w:r>
        <w:rPr>
          <w:rFonts w:ascii="Times New Roman" w:hAnsi="Times New Roman"/>
          <w:b/>
          <w:bCs/>
        </w:rPr>
        <w:t xml:space="preserve"> </w:t>
      </w:r>
      <w:r>
        <w:rPr>
          <w:rFonts w:ascii="Times New Roman" w:hAnsi="Times New Roman"/>
          <w:b/>
          <w:bCs/>
        </w:rPr>
        <w:t xml:space="preserve">“open-architecture industrial upgrading”</w:t>
      </w:r>
      <w:r>
        <w:rPr>
          <w:rFonts w:ascii="Times New Roman" w:hAnsi="Times New Roman"/>
          <w:b/>
          <w:bCs/>
        </w:rPr>
        <w:t xml:space="preserve"> </w:t>
      </w:r>
      <w:r>
        <w:rPr>
          <w:rFonts w:ascii="Times New Roman" w:hAnsi="Times New Roman"/>
          <w:b/>
          <w:bCs/>
        </w:rPr>
        <w:t xml:space="preserve">(Economic/Diplomatic).</w:t>
      </w:r>
      <w:r>
        <w:rPr>
          <w:rFonts w:ascii="Times New Roman" w:hAnsi="Times New Roman"/>
        </w:rPr>
        <w:t xml:space="preserve"> </w:t>
      </w:r>
      <w:r>
        <w:rPr>
          <w:rFonts w:ascii="Times New Roman" w:hAnsi="Times New Roman"/>
        </w:rPr>
        <w:t xml:space="preserve">Actions: standardize project disclosure; co-finance with multilateral banks where feasible; open supplier pools to competitive tenders; tie incentives to export and technology spillovers. Payoff: shifts narrative from dependency to modernization, widening coalitions without diluting China ties.</w:t>
      </w:r>
    </w:p>
    <w:p>
      <w:pPr>
        <w:pStyle w:val="Compact"/>
        <w:numPr>
          <w:ilvl w:val="0"/>
          <w:numId w:val="1005"/>
        </w:numPr>
      </w:pPr>
      <w:r>
        <w:rPr>
          <w:rFonts w:ascii="Times New Roman" w:hAnsi="Times New Roman"/>
          <w:b/>
          <w:bCs/>
        </w:rPr>
        <w:t xml:space="preserve">Diversify export identity toward standards leadership (Economic/Information).</w:t>
      </w:r>
      <w:r>
        <w:rPr>
          <w:rFonts w:ascii="Times New Roman" w:hAnsi="Times New Roman"/>
        </w:rPr>
        <w:t xml:space="preserve"> </w:t>
      </w:r>
      <w:r>
        <w:rPr>
          <w:rFonts w:ascii="Times New Roman" w:hAnsi="Times New Roman"/>
        </w:rPr>
        <w:t xml:space="preserve">Actions: fast-track EU GSP+ compliance and ESG reporting; negotiate MRAs on standards/testing; create a</w:t>
      </w:r>
      <w:r>
        <w:rPr>
          <w:rFonts w:ascii="Times New Roman" w:hAnsi="Times New Roman"/>
        </w:rPr>
        <w:t xml:space="preserve"> </w:t>
      </w:r>
      <w:r>
        <w:rPr>
          <w:rFonts w:ascii="Times New Roman" w:hAnsi="Times New Roman"/>
        </w:rPr>
        <w:t xml:space="preserve">“Green Textile and Agri”</w:t>
      </w:r>
      <w:r>
        <w:rPr>
          <w:rFonts w:ascii="Times New Roman" w:hAnsi="Times New Roman"/>
        </w:rPr>
        <w:t xml:space="preserve"> </w:t>
      </w:r>
      <w:r>
        <w:rPr>
          <w:rFonts w:ascii="Times New Roman" w:hAnsi="Times New Roman"/>
        </w:rPr>
        <w:t xml:space="preserve">brand with traceability pilots. Payoff: marries dignity and competitiveness; reduces vulnerability to preference shocks.</w:t>
      </w:r>
    </w:p>
    <w:p>
      <w:pPr>
        <w:pStyle w:val="Compact"/>
        <w:numPr>
          <w:ilvl w:val="0"/>
          <w:numId w:val="1005"/>
        </w:numPr>
      </w:pPr>
      <w:r>
        <w:rPr>
          <w:rFonts w:ascii="Times New Roman" w:hAnsi="Times New Roman"/>
          <w:b/>
          <w:bCs/>
        </w:rPr>
        <w:t xml:space="preserve">Launch a Pakistan Diaspora Public Diplomacy Corps (Information/Diplomatic).</w:t>
      </w:r>
      <w:r>
        <w:rPr>
          <w:rFonts w:ascii="Times New Roman" w:hAnsi="Times New Roman"/>
        </w:rPr>
        <w:t xml:space="preserve"> </w:t>
      </w:r>
      <w:r>
        <w:rPr>
          <w:rFonts w:ascii="Times New Roman" w:hAnsi="Times New Roman"/>
        </w:rPr>
        <w:t xml:space="preserve">Actions: appoint honorary public-diplomacy envoys; build local media toolkits; fund micro-grants for cultural/science outreach; integrate with consular e-services. Payoff: authenticates narratives through credible community voices; buffers crisis messaging.</w:t>
      </w:r>
    </w:p>
    <w:p>
      <w:pPr>
        <w:pStyle w:val="Compact"/>
        <w:numPr>
          <w:ilvl w:val="0"/>
          <w:numId w:val="1005"/>
        </w:numPr>
      </w:pPr>
      <w:r>
        <w:rPr>
          <w:rFonts w:ascii="Times New Roman" w:hAnsi="Times New Roman"/>
          <w:b/>
          <w:bCs/>
        </w:rPr>
        <w:t xml:space="preserve">Border governance and refugee policy as identity policy (Law-enforcement/Diplomatic).</w:t>
      </w:r>
      <w:r>
        <w:rPr>
          <w:rFonts w:ascii="Times New Roman" w:hAnsi="Times New Roman"/>
        </w:rPr>
        <w:t xml:space="preserve"> </w:t>
      </w:r>
      <w:r>
        <w:rPr>
          <w:rFonts w:ascii="Times New Roman" w:hAnsi="Times New Roman"/>
        </w:rPr>
        <w:t xml:space="preserve">Actions: digitize border management; coordinate with UNHCR on humane, rules-based returns and support; communicate principles publicly in Urdu, Pashto, Dari, and English. Payoff: aligns sovereignty and compassion identities; reduces reputational shocks.</w:t>
      </w:r>
    </w:p>
    <w:p>
      <w:pPr>
        <w:pStyle w:val="Compact"/>
        <w:numPr>
          <w:ilvl w:val="0"/>
          <w:numId w:val="1005"/>
        </w:numPr>
      </w:pPr>
      <w:r>
        <w:rPr>
          <w:rFonts w:ascii="Times New Roman" w:hAnsi="Times New Roman"/>
          <w:b/>
          <w:bCs/>
        </w:rPr>
        <w:t xml:space="preserve">Climate leadership for prestige and finance (Diplomatic/Economic/Information).</w:t>
      </w:r>
      <w:r>
        <w:rPr>
          <w:rFonts w:ascii="Times New Roman" w:hAnsi="Times New Roman"/>
        </w:rPr>
        <w:t xml:space="preserve"> </w:t>
      </w:r>
      <w:r>
        <w:rPr>
          <w:rFonts w:ascii="Times New Roman" w:hAnsi="Times New Roman"/>
        </w:rPr>
        <w:t xml:space="preserve">Actions: co-lead a</w:t>
      </w:r>
      <w:r>
        <w:rPr>
          <w:rFonts w:ascii="Times New Roman" w:hAnsi="Times New Roman"/>
        </w:rPr>
        <w:t xml:space="preserve"> </w:t>
      </w:r>
      <w:r>
        <w:rPr>
          <w:rFonts w:ascii="Times New Roman" w:hAnsi="Times New Roman"/>
        </w:rPr>
        <w:t xml:space="preserve">“Resilient South Asia”</w:t>
      </w:r>
      <w:r>
        <w:rPr>
          <w:rFonts w:ascii="Times New Roman" w:hAnsi="Times New Roman"/>
        </w:rPr>
        <w:t xml:space="preserve"> </w:t>
      </w:r>
      <w:r>
        <w:rPr>
          <w:rFonts w:ascii="Times New Roman" w:hAnsi="Times New Roman"/>
        </w:rPr>
        <w:t xml:space="preserve">initiative; champion loss-and-damage implementation; issue adaptation-linked bonds with robust MRV; expand bilateral climate compacts. Payoff: builds a constructive status identity; attracts concessional capital.</w:t>
      </w:r>
    </w:p>
    <w:p>
      <w:pPr>
        <w:pStyle w:val="Compact"/>
        <w:numPr>
          <w:ilvl w:val="0"/>
          <w:numId w:val="1005"/>
        </w:numPr>
      </w:pPr>
      <w:r>
        <w:rPr>
          <w:rFonts w:ascii="Times New Roman" w:hAnsi="Times New Roman"/>
          <w:b/>
          <w:bCs/>
        </w:rPr>
        <w:t xml:space="preserve">Codify nuclear signaling and budget transparency (Military/Financial).</w:t>
      </w:r>
      <w:r>
        <w:rPr>
          <w:rFonts w:ascii="Times New Roman" w:hAnsi="Times New Roman"/>
        </w:rPr>
        <w:t xml:space="preserve"> </w:t>
      </w:r>
      <w:r>
        <w:rPr>
          <w:rFonts w:ascii="Times New Roman" w:hAnsi="Times New Roman"/>
        </w:rPr>
        <w:t xml:space="preserve">Actions: publish a succinct defense white paper every two years; clarify doctrine thresholds consistent with deterrence stability; add medium-term affordability statements. Payoff: sustains parity identity while reassuring markets and partners.</w:t>
      </w:r>
    </w:p>
    <w:p>
      <w:pPr>
        <w:pStyle w:val="Compact"/>
        <w:numPr>
          <w:ilvl w:val="0"/>
          <w:numId w:val="1005"/>
        </w:numPr>
      </w:pPr>
      <w:r>
        <w:rPr>
          <w:rFonts w:ascii="Times New Roman" w:hAnsi="Times New Roman"/>
          <w:b/>
          <w:bCs/>
        </w:rPr>
        <w:t xml:space="preserve">OS dashboard and horizon scanning unit (Whole-of-government).</w:t>
      </w:r>
      <w:r>
        <w:rPr>
          <w:rFonts w:ascii="Times New Roman" w:hAnsi="Times New Roman"/>
        </w:rPr>
        <w:t xml:space="preserve"> </w:t>
      </w:r>
      <w:r>
        <w:rPr>
          <w:rFonts w:ascii="Times New Roman" w:hAnsi="Times New Roman"/>
        </w:rPr>
        <w:t xml:space="preserve">Actions: within the National Security Division, track quarterly indicators that typically trigger identity anxiety—terror incidents, FATF/AML flags, refugee inflows, currency volatility, media sentiment—and pre-plan narrative and policy responses. Payoff: moves from reactive identity repair to anticipatory management.</w:t>
      </w:r>
    </w:p>
    <w:p>
      <w:pPr>
        <w:pStyle w:val="Compact"/>
        <w:numPr>
          <w:ilvl w:val="0"/>
          <w:numId w:val="1005"/>
        </w:numPr>
      </w:pPr>
      <w:r>
        <w:rPr>
          <w:rFonts w:ascii="Times New Roman" w:hAnsi="Times New Roman"/>
          <w:b/>
          <w:bCs/>
        </w:rPr>
        <w:t xml:space="preserve">Calibrated economic normalization with India, firewalling dignity issues (Diplomatic/Economic).</w:t>
      </w:r>
      <w:r>
        <w:rPr>
          <w:rFonts w:ascii="Times New Roman" w:hAnsi="Times New Roman"/>
        </w:rPr>
        <w:t xml:space="preserve"> </w:t>
      </w:r>
      <w:r>
        <w:rPr>
          <w:rFonts w:ascii="Times New Roman" w:hAnsi="Times New Roman"/>
        </w:rPr>
        <w:t xml:space="preserve">Actions: pilot limited trade in pharmaceuticals, essential inputs, and power; use escrow and dispute-board mechanisms; keep symbolic dossiers separate. Payoff: reduces inflation and supply risk without compromising core narratives.</w:t>
      </w:r>
    </w:p>
    <w:p>
      <w:pPr>
        <w:pStyle w:val="Compact"/>
        <w:numPr>
          <w:ilvl w:val="0"/>
          <w:numId w:val="1005"/>
        </w:numPr>
      </w:pPr>
      <w:r>
        <w:rPr>
          <w:rFonts w:ascii="Times New Roman" w:hAnsi="Times New Roman"/>
          <w:b/>
          <w:bCs/>
        </w:rPr>
        <w:t xml:space="preserve">Strategic communications professionalism (Information/Law-enforcement).</w:t>
      </w:r>
      <w:r>
        <w:rPr>
          <w:rFonts w:ascii="Times New Roman" w:hAnsi="Times New Roman"/>
        </w:rPr>
        <w:t xml:space="preserve"> </w:t>
      </w:r>
      <w:r>
        <w:rPr>
          <w:rFonts w:ascii="Times New Roman" w:hAnsi="Times New Roman"/>
        </w:rPr>
        <w:t xml:space="preserve">Actions: create a small cadre of trained spokespersons across ministries; adopt a</w:t>
      </w:r>
      <w:r>
        <w:rPr>
          <w:rFonts w:ascii="Times New Roman" w:hAnsi="Times New Roman"/>
        </w:rPr>
        <w:t xml:space="preserve"> </w:t>
      </w:r>
      <w:r>
        <w:rPr>
          <w:rFonts w:ascii="Times New Roman" w:hAnsi="Times New Roman"/>
        </w:rPr>
        <w:t xml:space="preserve">“no surprises”</w:t>
      </w:r>
      <w:r>
        <w:rPr>
          <w:rFonts w:ascii="Times New Roman" w:hAnsi="Times New Roman"/>
        </w:rPr>
        <w:t xml:space="preserve"> </w:t>
      </w:r>
      <w:r>
        <w:rPr>
          <w:rFonts w:ascii="Times New Roman" w:hAnsi="Times New Roman"/>
        </w:rPr>
        <w:t xml:space="preserve">rule for high-salience statements; rehearse disinformation responses using red-team drills. Payoff: lowers volatility; increases credibility with partners and markets.</w:t>
      </w:r>
    </w:p>
    <w:bookmarkEnd w:id="31"/>
    <w:bookmarkStart w:id="32" w:name="conclusion"/>
    <w:p>
      <w:pPr>
        <w:pStyle w:val="Heading2"/>
      </w:pPr>
      <w:r>
        <w:rPr>
          <w:rFonts w:ascii="Times New Roman" w:hAnsi="Times New Roman"/>
        </w:rPr>
        <w:t xml:space="preserve">Conclusion</w:t>
      </w:r>
    </w:p>
    <w:p>
      <w:pPr>
        <w:pStyle w:val="FirstParagraph"/>
      </w:pPr>
      <w:r>
        <w:rPr>
          <w:rFonts w:ascii="Times New Roman" w:hAnsi="Times New Roman"/>
        </w:rPr>
        <w:t xml:space="preserve">Ontological security is not a soft add-on; it is a core engine of state behavior. By naming, measuring, and steering identity needs through DIMEFIL, Pakistan can protect dignity and continuity while widening strategic and economic options in a turbulent decade.</w:t>
      </w:r>
    </w:p>
    <w:bookmarkEnd w:id="32"/>
    <w:bookmarkStart w:id="33" w:name="references"/>
    <w:p>
      <w:pPr>
        <w:pStyle w:val="Heading2"/>
      </w:pPr>
      <w:r>
        <w:rPr>
          <w:rFonts w:ascii="Times New Roman" w:hAnsi="Times New Roman"/>
        </w:rPr>
        <w:t xml:space="preserve">References</w:t>
      </w:r>
    </w:p>
    <w:p>
      <w:pPr>
        <w:pStyle w:val="FirstParagraph"/>
        <w:spacing w:before="0" w:after="120" w:line="360" w:lineRule="auto"/>
        <w:ind w:left="720" w:hanging="720"/>
      </w:pPr>
      <w:r>
        <w:rPr>
          <w:rFonts w:ascii="Times New Roman" w:hAnsi="Times New Roman"/>
        </w:rPr>
        <w:t xml:space="preserve">Buzan, Barry, Ole Wæver, and Jaap de Wilde. 1998.</w:t>
      </w:r>
      <w:r>
        <w:rPr>
          <w:rFonts w:ascii="Times New Roman" w:hAnsi="Times New Roman"/>
        </w:rPr>
        <w:t xml:space="preserve"> </w:t>
      </w:r>
      <w:r>
        <w:rPr>
          <w:rFonts w:ascii="Times New Roman" w:hAnsi="Times New Roman"/>
          <w:i/>
          <w:iCs/>
        </w:rPr>
        <w:t xml:space="preserve">Security: A New Framework for Analysis</w:t>
      </w:r>
      <w:r>
        <w:rPr>
          <w:rFonts w:ascii="Times New Roman" w:hAnsi="Times New Roman"/>
        </w:rPr>
        <w:t xml:space="preserve">. Boulder, CO: Lynne Rienner.</w:t>
      </w:r>
    </w:p>
    <w:p>
      <w:pPr>
        <w:pStyle w:val="BodyText"/>
        <w:spacing w:before="0" w:after="120" w:line="360" w:lineRule="auto"/>
        <w:ind w:left="720" w:hanging="720"/>
      </w:pPr>
      <w:r>
        <w:rPr>
          <w:rFonts w:ascii="Times New Roman" w:hAnsi="Times New Roman"/>
        </w:rPr>
        <w:t xml:space="preserve">FATF (Financial Action Task Force). 2022.</w:t>
      </w:r>
      <w:r>
        <w:rPr>
          <w:rFonts w:ascii="Times New Roman" w:hAnsi="Times New Roman"/>
        </w:rPr>
        <w:t xml:space="preserve"> </w:t>
      </w:r>
      <w:r>
        <w:rPr>
          <w:rFonts w:ascii="Times New Roman" w:hAnsi="Times New Roman"/>
          <w:i/>
          <w:iCs/>
        </w:rPr>
        <w:t xml:space="preserve">Jurisdictions No Longer Subject to Increased Monitoring—Pakistan</w:t>
      </w:r>
      <w:r>
        <w:rPr>
          <w:rFonts w:ascii="Times New Roman" w:hAnsi="Times New Roman"/>
        </w:rPr>
        <w:t xml:space="preserve">. Paris: FATF.</w:t>
      </w:r>
    </w:p>
    <w:p>
      <w:pPr>
        <w:pStyle w:val="BodyText"/>
        <w:spacing w:before="0" w:after="120" w:line="360" w:lineRule="auto"/>
        <w:ind w:left="720" w:hanging="720"/>
      </w:pPr>
      <w:r>
        <w:rPr>
          <w:rFonts w:ascii="Times New Roman" w:hAnsi="Times New Roman"/>
        </w:rPr>
        <w:t xml:space="preserve">Giddens, Anthony. 1991.</w:t>
      </w:r>
      <w:r>
        <w:rPr>
          <w:rFonts w:ascii="Times New Roman" w:hAnsi="Times New Roman"/>
        </w:rPr>
        <w:t xml:space="preserve"> </w:t>
      </w:r>
      <w:r>
        <w:rPr>
          <w:rFonts w:ascii="Times New Roman" w:hAnsi="Times New Roman"/>
          <w:i/>
          <w:iCs/>
        </w:rPr>
        <w:t xml:space="preserve">Modernity and Self-Identity: Self and Society in the Late Modern Age</w:t>
      </w:r>
      <w:r>
        <w:rPr>
          <w:rFonts w:ascii="Times New Roman" w:hAnsi="Times New Roman"/>
        </w:rPr>
        <w:t xml:space="preserve">. Stanford, CA: Stanford University Press.</w:t>
      </w:r>
    </w:p>
    <w:p>
      <w:pPr>
        <w:pStyle w:val="BodyText"/>
        <w:spacing w:before="0" w:after="120" w:line="360" w:lineRule="auto"/>
        <w:ind w:left="720" w:hanging="720"/>
      </w:pPr>
      <w:r>
        <w:rPr>
          <w:rFonts w:ascii="Times New Roman" w:hAnsi="Times New Roman"/>
        </w:rPr>
        <w:t xml:space="preserve">IMF (International Monetary Fund). 2023.</w:t>
      </w:r>
      <w:r>
        <w:rPr>
          <w:rFonts w:ascii="Times New Roman" w:hAnsi="Times New Roman"/>
        </w:rPr>
        <w:t xml:space="preserve"> </w:t>
      </w:r>
      <w:r>
        <w:rPr>
          <w:rFonts w:ascii="Times New Roman" w:hAnsi="Times New Roman"/>
          <w:i/>
          <w:iCs/>
        </w:rPr>
        <w:t xml:space="preserve">Pakistan—Staff Report for the 2023 Stand-By Arrangement</w:t>
      </w:r>
      <w:r>
        <w:rPr>
          <w:rFonts w:ascii="Times New Roman" w:hAnsi="Times New Roman"/>
        </w:rPr>
        <w:t xml:space="preserve">. Washington, DC: International Monetary Fund.</w:t>
      </w:r>
    </w:p>
    <w:p>
      <w:pPr>
        <w:pStyle w:val="BodyText"/>
        <w:spacing w:before="0" w:after="120" w:line="360" w:lineRule="auto"/>
        <w:ind w:left="720" w:hanging="720"/>
      </w:pPr>
      <w:r>
        <w:rPr>
          <w:rFonts w:ascii="Times New Roman" w:hAnsi="Times New Roman"/>
        </w:rPr>
        <w:t xml:space="preserve">ITC (International Trade Centre). 2023.</w:t>
      </w:r>
      <w:r>
        <w:rPr>
          <w:rFonts w:ascii="Times New Roman" w:hAnsi="Times New Roman"/>
        </w:rPr>
        <w:t xml:space="preserve"> </w:t>
      </w:r>
      <w:r>
        <w:rPr>
          <w:rFonts w:ascii="Times New Roman" w:hAnsi="Times New Roman"/>
          <w:i/>
          <w:iCs/>
        </w:rPr>
        <w:t xml:space="preserve">Trade Map: Pakistan—Exports by Destination, 2022–2023</w:t>
      </w:r>
      <w:r>
        <w:rPr>
          <w:rFonts w:ascii="Times New Roman" w:hAnsi="Times New Roman"/>
        </w:rPr>
        <w:t xml:space="preserve">. Geneva: ITC.</w:t>
      </w:r>
    </w:p>
    <w:p>
      <w:pPr>
        <w:pStyle w:val="BodyText"/>
        <w:spacing w:before="0" w:after="120" w:line="360" w:lineRule="auto"/>
        <w:ind w:left="720" w:hanging="720"/>
      </w:pPr>
      <w:r>
        <w:rPr>
          <w:rFonts w:ascii="Times New Roman" w:hAnsi="Times New Roman"/>
        </w:rPr>
        <w:t xml:space="preserve">Kinnvall, Catarina. 2004.</w:t>
      </w:r>
      <w:r>
        <w:rPr>
          <w:rFonts w:ascii="Times New Roman" w:hAnsi="Times New Roman"/>
        </w:rPr>
        <w:t xml:space="preserve"> </w:t>
      </w:r>
      <w:r>
        <w:rPr>
          <w:rFonts w:ascii="Times New Roman" w:hAnsi="Times New Roman"/>
        </w:rPr>
        <w:t xml:space="preserve">“Globalization and Religious Nationalism: Self, Identity, and the Search for Ontological Security.”</w:t>
      </w:r>
      <w:r>
        <w:rPr>
          <w:rFonts w:ascii="Times New Roman" w:hAnsi="Times New Roman"/>
        </w:rPr>
        <w:t xml:space="preserve"> </w:t>
      </w:r>
      <w:r>
        <w:rPr>
          <w:rFonts w:ascii="Times New Roman" w:hAnsi="Times New Roman"/>
          <w:i/>
          <w:iCs/>
        </w:rPr>
        <w:t xml:space="preserve">Political Psychology</w:t>
      </w:r>
      <w:r>
        <w:rPr>
          <w:rFonts w:ascii="Times New Roman" w:hAnsi="Times New Roman"/>
        </w:rPr>
        <w:t xml:space="preserve"> </w:t>
      </w:r>
      <w:r>
        <w:rPr>
          <w:rFonts w:ascii="Times New Roman" w:hAnsi="Times New Roman"/>
        </w:rPr>
        <w:t xml:space="preserve">25 (5): 741–767.</w:t>
      </w:r>
    </w:p>
    <w:p>
      <w:pPr>
        <w:pStyle w:val="BodyText"/>
        <w:spacing w:before="0" w:after="120" w:line="360" w:lineRule="auto"/>
        <w:ind w:left="720" w:hanging="720"/>
      </w:pPr>
      <w:r>
        <w:rPr>
          <w:rFonts w:ascii="Times New Roman" w:hAnsi="Times New Roman"/>
        </w:rPr>
        <w:t xml:space="preserve">Larson, Deborah Welch, and Alexei Shevchenko. 2010.</w:t>
      </w:r>
      <w:r>
        <w:rPr>
          <w:rFonts w:ascii="Times New Roman" w:hAnsi="Times New Roman"/>
        </w:rPr>
        <w:t xml:space="preserve"> </w:t>
      </w:r>
      <w:r>
        <w:rPr>
          <w:rFonts w:ascii="Times New Roman" w:hAnsi="Times New Roman"/>
        </w:rPr>
        <w:t xml:space="preserve">“Status Seekers: Chinese and Russian Responses to U.S. Primacy.”</w:t>
      </w:r>
      <w:r>
        <w:rPr>
          <w:rFonts w:ascii="Times New Roman" w:hAnsi="Times New Roman"/>
        </w:rPr>
        <w:t xml:space="preserve"> </w:t>
      </w:r>
      <w:r>
        <w:rPr>
          <w:rFonts w:ascii="Times New Roman" w:hAnsi="Times New Roman"/>
          <w:i/>
          <w:iCs/>
        </w:rPr>
        <w:t xml:space="preserve">International Security</w:t>
      </w:r>
      <w:r>
        <w:rPr>
          <w:rFonts w:ascii="Times New Roman" w:hAnsi="Times New Roman"/>
        </w:rPr>
        <w:t xml:space="preserve"> </w:t>
      </w:r>
      <w:r>
        <w:rPr>
          <w:rFonts w:ascii="Times New Roman" w:hAnsi="Times New Roman"/>
        </w:rPr>
        <w:t xml:space="preserve">34 (4): 63–95.</w:t>
      </w:r>
    </w:p>
    <w:p>
      <w:pPr>
        <w:pStyle w:val="BodyText"/>
        <w:spacing w:before="0" w:after="120" w:line="360" w:lineRule="auto"/>
        <w:ind w:left="720" w:hanging="720"/>
      </w:pPr>
      <w:r>
        <w:rPr>
          <w:rFonts w:ascii="Times New Roman" w:hAnsi="Times New Roman"/>
        </w:rPr>
        <w:t xml:space="preserve">Mitzen, Jennifer. 2006.</w:t>
      </w:r>
      <w:r>
        <w:rPr>
          <w:rFonts w:ascii="Times New Roman" w:hAnsi="Times New Roman"/>
        </w:rPr>
        <w:t xml:space="preserve"> </w:t>
      </w:r>
      <w:r>
        <w:rPr>
          <w:rFonts w:ascii="Times New Roman" w:hAnsi="Times New Roman"/>
        </w:rPr>
        <w:t xml:space="preserve">“Ontological Security in World Politics: State Identity and the Security Dilemma.”</w:t>
      </w:r>
      <w:r>
        <w:rPr>
          <w:rFonts w:ascii="Times New Roman" w:hAnsi="Times New Roman"/>
        </w:rPr>
        <w:t xml:space="preserve"> </w:t>
      </w:r>
      <w:r>
        <w:rPr>
          <w:rFonts w:ascii="Times New Roman" w:hAnsi="Times New Roman"/>
          <w:i/>
          <w:iCs/>
        </w:rPr>
        <w:t xml:space="preserve">European Journal of International Relations</w:t>
      </w:r>
      <w:r>
        <w:rPr>
          <w:rFonts w:ascii="Times New Roman" w:hAnsi="Times New Roman"/>
        </w:rPr>
        <w:t xml:space="preserve"> </w:t>
      </w:r>
      <w:r>
        <w:rPr>
          <w:rFonts w:ascii="Times New Roman" w:hAnsi="Times New Roman"/>
        </w:rPr>
        <w:t xml:space="preserve">12 (3): 341–370.</w:t>
      </w:r>
    </w:p>
    <w:p>
      <w:pPr>
        <w:pStyle w:val="BodyText"/>
        <w:spacing w:before="0" w:after="120" w:line="360" w:lineRule="auto"/>
        <w:ind w:left="720" w:hanging="720"/>
      </w:pPr>
      <w:r>
        <w:rPr>
          <w:rFonts w:ascii="Times New Roman" w:hAnsi="Times New Roman"/>
        </w:rPr>
        <w:t xml:space="preserve">SIPRI (Stockholm International Peace Research Institute). 2024.</w:t>
      </w:r>
      <w:r>
        <w:rPr>
          <w:rFonts w:ascii="Times New Roman" w:hAnsi="Times New Roman"/>
        </w:rPr>
        <w:t xml:space="preserve"> </w:t>
      </w:r>
      <w:r>
        <w:rPr>
          <w:rFonts w:ascii="Times New Roman" w:hAnsi="Times New Roman"/>
          <w:i/>
          <w:iCs/>
        </w:rPr>
        <w:t xml:space="preserve">Trends in World Military Expenditure 2023</w:t>
      </w:r>
      <w:r>
        <w:rPr>
          <w:rFonts w:ascii="Times New Roman" w:hAnsi="Times New Roman"/>
        </w:rPr>
        <w:t xml:space="preserve">; and</w:t>
      </w:r>
      <w:r>
        <w:rPr>
          <w:rFonts w:ascii="Times New Roman" w:hAnsi="Times New Roman"/>
        </w:rPr>
        <w:t xml:space="preserve"> </w:t>
      </w:r>
      <w:r>
        <w:rPr>
          <w:rFonts w:ascii="Times New Roman" w:hAnsi="Times New Roman"/>
          <w:i/>
          <w:iCs/>
        </w:rPr>
        <w:t xml:space="preserve">SIPRI Yearbook 2024</w:t>
      </w:r>
      <w:r>
        <w:rPr>
          <w:rFonts w:ascii="Times New Roman" w:hAnsi="Times New Roman"/>
        </w:rPr>
        <w:t xml:space="preserve">. Stockholm: SIPRI.</w:t>
      </w:r>
    </w:p>
    <w:p>
      <w:pPr>
        <w:pStyle w:val="BodyText"/>
        <w:spacing w:before="0" w:after="120" w:line="360" w:lineRule="auto"/>
        <w:ind w:left="720" w:hanging="720"/>
      </w:pPr>
      <w:r>
        <w:rPr>
          <w:rFonts w:ascii="Times New Roman" w:hAnsi="Times New Roman"/>
        </w:rPr>
        <w:t xml:space="preserve">State Bank of Pakistan. 2023.</w:t>
      </w:r>
      <w:r>
        <w:rPr>
          <w:rFonts w:ascii="Times New Roman" w:hAnsi="Times New Roman"/>
        </w:rPr>
        <w:t xml:space="preserve"> </w:t>
      </w:r>
      <w:r>
        <w:rPr>
          <w:rFonts w:ascii="Times New Roman" w:hAnsi="Times New Roman"/>
          <w:i/>
          <w:iCs/>
        </w:rPr>
        <w:t xml:space="preserve">Annual Report and Workers’ Remittances Data, FY2022–FY2023</w:t>
      </w:r>
      <w:r>
        <w:rPr>
          <w:rFonts w:ascii="Times New Roman" w:hAnsi="Times New Roman"/>
        </w:rPr>
        <w:t xml:space="preserve">. Karachi: SBP.</w:t>
      </w:r>
    </w:p>
    <w:p>
      <w:pPr>
        <w:pStyle w:val="BodyText"/>
        <w:spacing w:before="0" w:after="120" w:line="360" w:lineRule="auto"/>
        <w:ind w:left="720" w:hanging="720"/>
      </w:pPr>
      <w:r>
        <w:rPr>
          <w:rFonts w:ascii="Times New Roman" w:hAnsi="Times New Roman"/>
        </w:rPr>
        <w:t xml:space="preserve">Steele, Brent J. 2008.</w:t>
      </w:r>
      <w:r>
        <w:rPr>
          <w:rFonts w:ascii="Times New Roman" w:hAnsi="Times New Roman"/>
        </w:rPr>
        <w:t xml:space="preserve"> </w:t>
      </w:r>
      <w:r>
        <w:rPr>
          <w:rFonts w:ascii="Times New Roman" w:hAnsi="Times New Roman"/>
          <w:i/>
          <w:iCs/>
        </w:rPr>
        <w:t xml:space="preserve">Ontological Security in International Relations: Self-Identity and the IR State</w:t>
      </w:r>
      <w:r>
        <w:rPr>
          <w:rFonts w:ascii="Times New Roman" w:hAnsi="Times New Roman"/>
        </w:rPr>
        <w:t xml:space="preserve">. London: Routledge.</w:t>
      </w:r>
    </w:p>
    <w:p>
      <w:pPr>
        <w:pStyle w:val="BodyText"/>
        <w:spacing w:before="0" w:after="120" w:line="360" w:lineRule="auto"/>
        <w:ind w:left="720" w:hanging="720"/>
      </w:pPr>
      <w:r>
        <w:rPr>
          <w:rFonts w:ascii="Times New Roman" w:hAnsi="Times New Roman"/>
        </w:rPr>
        <w:t xml:space="preserve">UNHCR (United Nations High Commissioner for Refugees). 2023.</w:t>
      </w:r>
      <w:r>
        <w:rPr>
          <w:rFonts w:ascii="Times New Roman" w:hAnsi="Times New Roman"/>
        </w:rPr>
        <w:t xml:space="preserve"> </w:t>
      </w:r>
      <w:r>
        <w:rPr>
          <w:rFonts w:ascii="Times New Roman" w:hAnsi="Times New Roman"/>
          <w:i/>
          <w:iCs/>
        </w:rPr>
        <w:t xml:space="preserve">Pakistan: Afghan Refugees and Asylum-Seekers—Operational Updates</w:t>
      </w:r>
      <w:r>
        <w:rPr>
          <w:rFonts w:ascii="Times New Roman" w:hAnsi="Times New Roman"/>
        </w:rPr>
        <w:t xml:space="preserve">. Geneva: UNHCR.</w:t>
      </w:r>
    </w:p>
    <w:p>
      <w:pPr>
        <w:pStyle w:val="BodyText"/>
        <w:spacing w:before="0" w:after="120" w:line="360" w:lineRule="auto"/>
        <w:ind w:left="720" w:hanging="720"/>
      </w:pPr>
      <w:r>
        <w:rPr>
          <w:rFonts w:ascii="Times New Roman" w:hAnsi="Times New Roman"/>
        </w:rPr>
        <w:t xml:space="preserve">World Bank. 2023.</w:t>
      </w:r>
      <w:r>
        <w:rPr>
          <w:rFonts w:ascii="Times New Roman" w:hAnsi="Times New Roman"/>
        </w:rPr>
        <w:t xml:space="preserve"> </w:t>
      </w:r>
      <w:r>
        <w:rPr>
          <w:rFonts w:ascii="Times New Roman" w:hAnsi="Times New Roman"/>
          <w:i/>
          <w:iCs/>
        </w:rPr>
        <w:t xml:space="preserve">Pakistan Floods 2022: Post-Disaster Needs Assessment (PDNA)</w:t>
      </w:r>
      <w:r>
        <w:rPr>
          <w:rFonts w:ascii="Times New Roman" w:hAnsi="Times New Roman"/>
        </w:rPr>
        <w:t xml:space="preserve">. Washington, DC: World Bank.</w:t>
      </w:r>
    </w:p>
    <w:bookmarkEnd w:id="33"/>
    <w:sectPr>
      <w:footnotePr>
        <w:numRestart w:val="eachSect"/>
      </w:footnotePr>
      <w:pgSz w:w="12240" w:h="15840"/>
      <w:pgMar w:left="1440" w:right="1440" w:top="1440" w:bottom="1440" w:footer="720" w:header="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
    <w:p>
      <w:pPr>
        <w:pStyle w:val="FootnoteText"/>
      </w:pPr>
      <w:r>
        <w:rPr>
          <w:rStyle w:val="FootnoteReference"/>
        </w:rPr>
        <w:footnoteRef/>
      </w:r>
      <w:r>
        <w:t xml:space="preserve"> </w:t>
      </w:r>
      <w:r>
        <w:t xml:space="preserve">Anthony Giddens,</w:t>
      </w:r>
      <w:r>
        <w:t xml:space="preserve"> </w:t>
      </w:r>
      <w:r>
        <w:rPr>
          <w:i/>
          <w:iCs/>
        </w:rPr>
        <w:t xml:space="preserve">Modernity and Self-Identity: Self and Society in the Late Modern Age</w:t>
      </w:r>
      <w:r>
        <w:t xml:space="preserve"> </w:t>
      </w:r>
      <w:r>
        <w:t xml:space="preserve">(Stanford, CA: Stanford University Press, 1991); Jennifer Mitzen,</w:t>
      </w:r>
      <w:r>
        <w:t xml:space="preserve"> </w:t>
      </w:r>
      <w:r>
        <w:t xml:space="preserve">“Ontological Security in World Politics: State Identity and the Security Dilemma,”</w:t>
      </w:r>
      <w:r>
        <w:t xml:space="preserve"> </w:t>
      </w:r>
      <w:r>
        <w:rPr>
          <w:i/>
          <w:iCs/>
        </w:rPr>
        <w:t xml:space="preserve">European Journal of International Relations</w:t>
      </w:r>
      <w:r>
        <w:t xml:space="preserve"> </w:t>
      </w:r>
      <w:r>
        <w:t xml:space="preserve">12, no. 3 (2006): 341–370; Brent J. Steele,</w:t>
      </w:r>
      <w:r>
        <w:t xml:space="preserve"> </w:t>
      </w:r>
      <w:r>
        <w:rPr>
          <w:i/>
          <w:iCs/>
        </w:rPr>
        <w:t xml:space="preserve">Ontological Security in International Relations: Self-Identity and the IR State</w:t>
      </w:r>
      <w:r>
        <w:t xml:space="preserve"> </w:t>
      </w:r>
      <w:r>
        <w:t xml:space="preserve">(London: Routledge, 2008).</w:t>
      </w:r>
    </w:p>
  </w:footnote>
  <w:footnote w:id="12">
    <w:p>
      <w:pPr>
        <w:pStyle w:val="FootnoteText"/>
      </w:pPr>
      <w:r>
        <w:rPr>
          <w:rStyle w:val="FootnoteReference"/>
        </w:rPr>
        <w:footnoteRef/>
      </w:r>
      <w:r>
        <w:t xml:space="preserve"> </w:t>
      </w:r>
      <w:r>
        <w:t xml:space="preserve">Catarina Kinnvall,</w:t>
      </w:r>
      <w:r>
        <w:t xml:space="preserve"> </w:t>
      </w:r>
      <w:r>
        <w:t xml:space="preserve">“Globalization and Religious Nationalism: Self, Identity, and the Search for Ontological Security,”</w:t>
      </w:r>
      <w:r>
        <w:t xml:space="preserve"> </w:t>
      </w:r>
      <w:r>
        <w:rPr>
          <w:i/>
          <w:iCs/>
        </w:rPr>
        <w:t xml:space="preserve">Political Psychology</w:t>
      </w:r>
      <w:r>
        <w:t xml:space="preserve"> </w:t>
      </w:r>
      <w:r>
        <w:t xml:space="preserve">25, no. 5 (2004): 741–767.</w:t>
      </w:r>
    </w:p>
  </w:footnote>
  <w:footnote w:id="13">
    <w:p>
      <w:pPr>
        <w:pStyle w:val="FootnoteText"/>
      </w:pPr>
      <w:r>
        <w:rPr>
          <w:rStyle w:val="FootnoteReference"/>
        </w:rPr>
        <w:footnoteRef/>
      </w:r>
      <w:r>
        <w:t xml:space="preserve"> </w:t>
      </w:r>
      <w:r>
        <w:t xml:space="preserve">International Monetary Fund,</w:t>
      </w:r>
      <w:r>
        <w:t xml:space="preserve"> </w:t>
      </w:r>
      <w:r>
        <w:rPr>
          <w:i/>
          <w:iCs/>
        </w:rPr>
        <w:t xml:space="preserve">Pakistan—Staff Report for the 2023 Stand-By Arrangement</w:t>
      </w:r>
      <w:r>
        <w:t xml:space="preserve"> </w:t>
      </w:r>
      <w:r>
        <w:t xml:space="preserve">(Washington, DC: IMF, 2023).</w:t>
      </w:r>
    </w:p>
  </w:footnote>
  <w:footnote w:id="15">
    <w:p>
      <w:pPr>
        <w:pStyle w:val="FootnoteText"/>
      </w:pPr>
      <w:r>
        <w:rPr>
          <w:rStyle w:val="FootnoteReference"/>
        </w:rPr>
        <w:footnoteRef/>
      </w:r>
      <w:r>
        <w:t xml:space="preserve"> </w:t>
      </w:r>
      <w:r>
        <w:t xml:space="preserve">Giddens,</w:t>
      </w:r>
      <w:r>
        <w:t xml:space="preserve"> </w:t>
      </w:r>
      <w:r>
        <w:rPr>
          <w:i/>
          <w:iCs/>
        </w:rPr>
        <w:t xml:space="preserve">Modernity and Self-Identity</w:t>
      </w:r>
      <w:r>
        <w:t xml:space="preserve">; Steele,</w:t>
      </w:r>
      <w:r>
        <w:t xml:space="preserve"> </w:t>
      </w:r>
      <w:r>
        <w:rPr>
          <w:i/>
          <w:iCs/>
        </w:rPr>
        <w:t xml:space="preserve">Ontological Security in International Relations</w:t>
      </w:r>
      <w:r>
        <w:t xml:space="preserve">.</w:t>
      </w:r>
    </w:p>
  </w:footnote>
  <w:footnote w:id="16">
    <w:p>
      <w:pPr>
        <w:pStyle w:val="FootnoteText"/>
      </w:pPr>
      <w:r>
        <w:rPr>
          <w:rStyle w:val="FootnoteReference"/>
        </w:rPr>
        <w:footnoteRef/>
      </w:r>
      <w:r>
        <w:t xml:space="preserve"> </w:t>
      </w:r>
      <w:r>
        <w:t xml:space="preserve">Mitzen,</w:t>
      </w:r>
      <w:r>
        <w:t xml:space="preserve"> </w:t>
      </w:r>
      <w:r>
        <w:t xml:space="preserve">“Ontological Security in World Politics.”</w:t>
      </w:r>
    </w:p>
  </w:footnote>
  <w:footnote w:id="17">
    <w:p>
      <w:pPr>
        <w:pStyle w:val="FootnoteText"/>
      </w:pPr>
      <w:r>
        <w:rPr>
          <w:rStyle w:val="FootnoteReference"/>
        </w:rPr>
        <w:footnoteRef/>
      </w:r>
      <w:r>
        <w:t xml:space="preserve"> </w:t>
      </w:r>
      <w:r>
        <w:t xml:space="preserve">Barry Buzan, Ole Wæver, and Jaap de Wilde,</w:t>
      </w:r>
      <w:r>
        <w:t xml:space="preserve"> </w:t>
      </w:r>
      <w:r>
        <w:rPr>
          <w:i/>
          <w:iCs/>
        </w:rPr>
        <w:t xml:space="preserve">Security: A New Framework for Analysis</w:t>
      </w:r>
      <w:r>
        <w:t xml:space="preserve"> </w:t>
      </w:r>
      <w:r>
        <w:t xml:space="preserve">(Boulder, CO: Lynne Rienner, 1998).</w:t>
      </w:r>
    </w:p>
  </w:footnote>
  <w:footnote w:id="18">
    <w:p>
      <w:pPr>
        <w:pStyle w:val="FootnoteText"/>
      </w:pPr>
      <w:r>
        <w:rPr>
          <w:rStyle w:val="FootnoteReference"/>
        </w:rPr>
        <w:footnoteRef/>
      </w:r>
      <w:r>
        <w:t xml:space="preserve"> </w:t>
      </w:r>
      <w:r>
        <w:t xml:space="preserve">Deborah Welch Larson and Alexei Shevchenko,</w:t>
      </w:r>
      <w:r>
        <w:t xml:space="preserve"> </w:t>
      </w:r>
      <w:r>
        <w:t xml:space="preserve">“Status Seekers: Chinese and Russian Responses to U.S. Primacy,”</w:t>
      </w:r>
      <w:r>
        <w:t xml:space="preserve"> </w:t>
      </w:r>
      <w:r>
        <w:rPr>
          <w:i/>
          <w:iCs/>
        </w:rPr>
        <w:t xml:space="preserve">International Security</w:t>
      </w:r>
      <w:r>
        <w:t xml:space="preserve"> </w:t>
      </w:r>
      <w:r>
        <w:t xml:space="preserve">34, no. 4 (2010): 63–95.</w:t>
      </w:r>
    </w:p>
  </w:footnote>
  <w:footnote w:id="20">
    <w:p>
      <w:pPr>
        <w:pStyle w:val="FootnoteText"/>
      </w:pPr>
      <w:r>
        <w:rPr>
          <w:rStyle w:val="FootnoteReference"/>
        </w:rPr>
        <w:footnoteRef/>
      </w:r>
      <w:r>
        <w:t xml:space="preserve"> </w:t>
      </w:r>
      <w:r>
        <w:t xml:space="preserve">World Bank,</w:t>
      </w:r>
      <w:r>
        <w:t xml:space="preserve"> </w:t>
      </w:r>
      <w:r>
        <w:rPr>
          <w:i/>
          <w:iCs/>
        </w:rPr>
        <w:t xml:space="preserve">Pakistan Floods 2022: Post-Disaster Needs Assessment (PDNA)</w:t>
      </w:r>
      <w:r>
        <w:t xml:space="preserve"> </w:t>
      </w:r>
      <w:r>
        <w:t xml:space="preserve">(Washington, DC: World Bank, 2023).</w:t>
      </w:r>
    </w:p>
  </w:footnote>
  <w:footnote w:id="22">
    <w:p>
      <w:pPr>
        <w:pStyle w:val="FootnoteText"/>
      </w:pPr>
      <w:r>
        <w:rPr>
          <w:rStyle w:val="FootnoteReference"/>
        </w:rPr>
        <w:footnoteRef/>
      </w:r>
      <w:r>
        <w:t xml:space="preserve"> </w:t>
      </w:r>
      <w:r>
        <w:t xml:space="preserve">International Trade Centre,</w:t>
      </w:r>
      <w:r>
        <w:t xml:space="preserve"> </w:t>
      </w:r>
      <w:r>
        <w:rPr>
          <w:i/>
          <w:iCs/>
        </w:rPr>
        <w:t xml:space="preserve">Trade Map: Pakistan—Exports by Destination, 2022–2023</w:t>
      </w:r>
      <w:r>
        <w:t xml:space="preserve"> </w:t>
      </w:r>
      <w:r>
        <w:t xml:space="preserve">(Geneva: ITC, 2023).</w:t>
      </w:r>
    </w:p>
  </w:footnote>
  <w:footnote w:id="23">
    <w:p>
      <w:pPr>
        <w:pStyle w:val="FootnoteText"/>
      </w:pPr>
      <w:r>
        <w:rPr>
          <w:rStyle w:val="FootnoteReference"/>
        </w:rPr>
        <w:footnoteRef/>
      </w:r>
      <w:r>
        <w:t xml:space="preserve"> </w:t>
      </w:r>
      <w:r>
        <w:t xml:space="preserve">State Bank of Pakistan,</w:t>
      </w:r>
      <w:r>
        <w:t xml:space="preserve"> </w:t>
      </w:r>
      <w:r>
        <w:rPr>
          <w:i/>
          <w:iCs/>
        </w:rPr>
        <w:t xml:space="preserve">Annual Report and Workers’ Remittances Data, FY2022–FY2023</w:t>
      </w:r>
      <w:r>
        <w:t xml:space="preserve"> </w:t>
      </w:r>
      <w:r>
        <w:t xml:space="preserve">(Karachi: SBP, 2023).</w:t>
      </w:r>
    </w:p>
  </w:footnote>
  <w:footnote w:id="24">
    <w:p>
      <w:pPr>
        <w:pStyle w:val="FootnoteText"/>
      </w:pPr>
      <w:r>
        <w:rPr>
          <w:rStyle w:val="FootnoteReference"/>
        </w:rPr>
        <w:footnoteRef/>
      </w:r>
      <w:r>
        <w:t xml:space="preserve"> </w:t>
      </w:r>
      <w:r>
        <w:t xml:space="preserve">Stockholm International Peace Research Institute,</w:t>
      </w:r>
      <w:r>
        <w:t xml:space="preserve"> </w:t>
      </w:r>
      <w:r>
        <w:rPr>
          <w:i/>
          <w:iCs/>
        </w:rPr>
        <w:t xml:space="preserve">Trends in World Military Expenditure 2023</w:t>
      </w:r>
      <w:r>
        <w:t xml:space="preserve"> </w:t>
      </w:r>
      <w:r>
        <w:t xml:space="preserve">and</w:t>
      </w:r>
      <w:r>
        <w:t xml:space="preserve"> </w:t>
      </w:r>
      <w:r>
        <w:rPr>
          <w:i/>
          <w:iCs/>
        </w:rPr>
        <w:t xml:space="preserve">SIPRI Yearbook 2024</w:t>
      </w:r>
      <w:r>
        <w:t xml:space="preserve"> </w:t>
      </w:r>
      <w:r>
        <w:t xml:space="preserve">(Stockholm: SIPRI, 2024).</w:t>
      </w:r>
    </w:p>
  </w:footnote>
  <w:footnote w:id="25">
    <w:p>
      <w:pPr>
        <w:pStyle w:val="FootnoteText"/>
      </w:pPr>
      <w:r>
        <w:rPr>
          <w:rStyle w:val="FootnoteReference"/>
        </w:rPr>
        <w:footnoteRef/>
      </w:r>
      <w:r>
        <w:t xml:space="preserve"> </w:t>
      </w:r>
      <w:r>
        <w:t xml:space="preserve">United Nations High Commissioner for Refugees,</w:t>
      </w:r>
      <w:r>
        <w:t xml:space="preserve"> </w:t>
      </w:r>
      <w:r>
        <w:rPr>
          <w:i/>
          <w:iCs/>
        </w:rPr>
        <w:t xml:space="preserve">Pakistan: Afghan Refugees and Asylum-Seekers—Operational Updates</w:t>
      </w:r>
      <w:r>
        <w:t xml:space="preserve"> </w:t>
      </w:r>
      <w:r>
        <w:t xml:space="preserve">(Geneva: UNHCR, 2023).</w:t>
      </w:r>
    </w:p>
  </w:footnote>
  <w:footnote w:id="26">
    <w:p>
      <w:pPr>
        <w:pStyle w:val="FootnoteText"/>
      </w:pPr>
      <w:r>
        <w:rPr>
          <w:rStyle w:val="FootnoteReference"/>
        </w:rPr>
        <w:footnoteRef/>
      </w:r>
      <w:r>
        <w:t xml:space="preserve"> </w:t>
      </w:r>
      <w:r>
        <w:t xml:space="preserve">Financial Action Task Force,</w:t>
      </w:r>
      <w:r>
        <w:t xml:space="preserve"> </w:t>
      </w:r>
      <w:r>
        <w:rPr>
          <w:i/>
          <w:iCs/>
        </w:rPr>
        <w:t xml:space="preserve">Jurisdictions No Longer Subject to Increased Monitoring—Pakistan</w:t>
      </w:r>
      <w:r>
        <w:t xml:space="preserve"> </w:t>
      </w:r>
      <w:r>
        <w:t xml:space="preserve">(Paris: FATF, 2022).</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zh-CN" w:val="en-US"/>
      </w:rPr>
    </w:rPrDefault>
    <w:pPrDefault>
      <w:pPr>
        <w:spacing w:after="120" w:before="0" w:line="360" w:lineRule="auto"/>
      </w:pPr>
    </w:pPrDefault>
  </w:docDefaults>
  <w:latentStyles w:count="276" w:defLockedState="0" w:defQFormat="0" w:defSemiHidden="0" w:defUIPriority="0" w:defUnhideWhenUsed="0"/>
  <w:style w:default="1" w:styleId="Normal" w:type="paragraph">
    <w:name w:val="Normal"/>
    <w:qFormat/>
    <w:pPr>
      <w:spacing w:after="120" w:before="0" w:line="360" w:lineRule="auto"/>
    </w:pPr>
    <w:rPr>
      <w:rFonts w:ascii="Times New Roman" w:cs="Times New Roman" w:eastAsia="Times New Roman" w:hAnsi="Times New Roman"/>
      <w:sz w:val="24"/>
      <w:szCs w:val="24"/>
    </w:rPr>
  </w:style>
  <w:style w:styleId="BodyText" w:type="paragraph">
    <w:name w:val="Body Text"/>
    <w:basedOn w:val="Normal"/>
    <w:link w:val="BodyTextChar"/>
    <w:qFormat/>
    <w:pPr>
      <w:spacing w:after="120" w:before="0" w:line="360" w:lineRule="auto"/>
      <w:ind w:firstLine="720"/>
    </w:pPr>
  </w:style>
  <w:style w:customStyle="1" w:styleId="FirstParagraph" w:type="paragraph">
    <w:name w:val="First Paragraph"/>
    <w:basedOn w:val="BodyText"/>
    <w:next w:val="BodyText"/>
    <w:qFormat/>
    <w:pPr>
      <w:ind w:firstLine="0"/>
    </w:p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b/>
      <w:color w:val="000000"/>
      <w:sz w:val="32"/>
      <w:szCs w:val="32"/>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cs="Times New Roman" w:eastAsia="Times New Roman" w:hAnsi="Times New Roman"/>
      <w:b/>
      <w:color w:val="000000"/>
      <w:sz w:val="26"/>
      <w:szCs w:val="26"/>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cs="Times New Roman" w:eastAsia="Times New Roman" w:hAnsi="Times New Roman"/>
      <w:b/>
      <w:color w:val="000000"/>
      <w:sz w:val="24"/>
      <w:szCs w:val="24"/>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imes New Roman" w:eastAsia="Times New Roman" w:hAnsi="Times New Roman"/>
      <w:b/>
      <w:i/>
      <w:color w:val="000000"/>
      <w:sz w:val="22"/>
      <w:szCs w:val="22"/>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after="0" w:before="0" w:line="240" w:lineRule="auto"/>
      <w:ind w:hanging="240" w:left="240"/>
    </w:pPr>
    <w:rPr>
      <w:rFonts w:ascii="Times New Roman" w:cs="Times New Roman" w:eastAsia="Times New Roman" w:hAnsi="Times New Roman"/>
      <w:sz w:val="20"/>
      <w:szCs w:val="20"/>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Ontological Security in Foreign Policy Formulation: A DIMEFIL-Grounded Perspective and Way Forward for Pakistan</dc:title>
  <dc:creator/>
  <cp:keywords/>
  <dcterms:created xsi:type="dcterms:W3CDTF">2026-08-27T20:24:08Z</dcterms:created>
  <dcterms:modified xsi:type="dcterms:W3CDTF">2026-08-27T20:24:08Z</dcterms:modified>
</cp:coreProperties>
</file>

<file path=docProps/custom.xml><?xml version="1.0" encoding="utf-8"?>
<Properties xmlns="http://schemas.openxmlformats.org/officeDocument/2006/custom-properties" xmlns:vt="http://schemas.openxmlformats.org/officeDocument/2006/docPropsVTypes"/>
</file>