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Human Resources Policy Handbook</w:t>
      </w:r>
    </w:p>
    <w:p>
      <w:pPr>
        <w:pStyle w:val="Heading1"/>
      </w:pPr>
      <w:r>
        <w:t>Section 1: Leave and Paid Time Off (PTO)</w:t>
      </w:r>
    </w:p>
    <w:p>
      <w:r>
        <w:t>All full-time employees are entitled to 20 days of paid annual leave per calendar year. PTO requests must be submitted through the HR Portal at least two weeks in advance. Unused annual leave up to a maximum of 5 days can be carried forward to the next year. Maternity leave is provided up to 26 weeks of paid leave, and paternity leave is provided up to 4 weeks of paid leave.</w:t>
      </w:r>
    </w:p>
    <w:p>
      <w:pPr>
        <w:pStyle w:val="Heading1"/>
      </w:pPr>
      <w:r>
        <w:t>Section 2: Remote Work Policy</w:t>
      </w:r>
    </w:p>
    <w:p>
      <w:r>
        <w:t>Employees are eligible for a hybrid working model, permitting remote work for up to 3 days per week, subject to approval by the direct supervisor. Core collaboration hours are between 10:00 AM and 3:00 PM EST. The company provides a one-time home office equipment stipend of $500 to assist with setup expenses.</w:t>
      </w:r>
    </w:p>
    <w:p>
      <w:pPr>
        <w:pStyle w:val="Heading1"/>
      </w:pPr>
      <w:r>
        <w:t>Section 3: Equipment Allowance and Tech Stipend</w:t>
      </w:r>
    </w:p>
    <w:p>
      <w:r>
        <w:t>Full-time employees receive a company-issued laptop which remains the property of the company. A monthly technology stipend of $50 is added to payroll to offset home internet and phone bills.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