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p>
    <w:p>
      <w:r/>
    </w:p>
    <w:p>
      <w:r/>
    </w:p>
    <w:p>
      <w:r/>
    </w:p>
    <w:p>
      <w:r/>
    </w:p>
    <w:p>
      <w:pPr>
        <w:jc w:val="center"/>
      </w:pPr>
      <w:r>
        <w:rPr>
          <w:b/>
          <w:sz w:val="32"/>
        </w:rPr>
        <w:t>BECE303L_VLSI System Design</w:t>
      </w:r>
    </w:p>
    <w:p>
      <w:pPr>
        <w:jc w:val="center"/>
      </w:pPr>
      <w:r>
        <w:rPr>
          <w:sz w:val="36"/>
        </w:rPr>
        <w:t>Mini Project Report</w:t>
      </w:r>
    </w:p>
    <w:p>
      <w:r/>
    </w:p>
    <w:p>
      <w:pPr>
        <w:jc w:val="center"/>
      </w:pPr>
      <w:r>
        <w:rPr>
          <w:b/>
          <w:sz w:val="40"/>
        </w:rPr>
        <w:t>Design and Simulation of a 10 GHz MCML Charge Pump for PLL Applications</w:t>
      </w:r>
    </w:p>
    <w:p>
      <w:r/>
    </w:p>
    <w:p>
      <w:r/>
    </w:p>
    <w:p>
      <w:r/>
    </w:p>
    <w:p>
      <w:pPr>
        <w:jc w:val="center"/>
      </w:pPr>
      <w:r>
        <w:rPr>
          <w:b/>
          <w:sz w:val="28"/>
        </w:rPr>
        <w:t>TEAM MEMBERS</w:t>
      </w:r>
    </w:p>
    <w:p>
      <w:pPr>
        <w:jc w:val="center"/>
      </w:pPr>
      <w:r>
        <w:rPr>
          <w:sz w:val="26"/>
        </w:rPr>
        <w:t>Shivam Kumar — 24BLC1103</w:t>
      </w:r>
    </w:p>
    <w:p>
      <w:pPr>
        <w:jc w:val="center"/>
      </w:pPr>
      <w:r>
        <w:rPr>
          <w:sz w:val="26"/>
        </w:rPr>
        <w:t>Pragyan Jain — 24BLC1100</w:t>
      </w:r>
    </w:p>
    <w:p>
      <w:pPr>
        <w:jc w:val="center"/>
      </w:pPr>
      <w:r>
        <w:rPr>
          <w:sz w:val="26"/>
        </w:rPr>
        <w:t>K Navin Aakash — 23BLC1238</w:t>
      </w:r>
    </w:p>
    <w:p>
      <w:r/>
    </w:p>
    <w:p>
      <w:r/>
    </w:p>
    <w:p>
      <w:r/>
    </w:p>
    <w:p>
      <w:r/>
    </w:p>
    <w:p>
      <w:pPr>
        <w:jc w:val="center"/>
      </w:pPr>
      <w:r>
        <w:t>Fall 2026  |  Academic Year 2026–2027</w:t>
      </w:r>
    </w:p>
    <w:p>
      <w:pPr>
        <w:jc w:val="center"/>
      </w:pPr>
      <w:r>
        <w:t>Simulation environment: Cadence Virtuoso 6.1.7 schematic, ADE L setup, ViVA waveform display, and Calculator evaluation.</w:t>
      </w:r>
    </w:p>
    <w:p>
      <w:r>
        <w:br w:type="page"/>
      </w:r>
    </w:p>
    <w:p>
      <w:pPr>
        <w:pStyle w:val="Heading1"/>
      </w:pPr>
      <w:r>
        <w:t>Abstract</w:t>
      </w:r>
    </w:p>
    <w:p>
      <w:r>
        <w:t>This fifth-semester VLSI System Design mini project builds and simulates a 10 GHz MCML charge pump for a PLL, based on the circuit described by Sivasakthi and Radhika [1]. We prepared the schematic and testbench in Cadence Virtuoso, checked the connections, set up the transient analysis in ADE L, and viewed charging and discharging results in ViVA. With a 1.0 V supply, 0.45 V bias, 27 °C temperature, and a 300 fF internal load, the measured average delays are 13.811 ps for charging and 15.447 ps for discharging. The corresponding average VDD powers are 22.528 µW and 16.097 µW. The settled output swing is 0.993524 V. The discharge delay differs from the paper’s 16.71 ps result by 7.56%, and the output swing differs from its 0.98 V result by 1.38%. Both differences are within a 10% numerical comparison window. The simulation shows the expected rise and fall of the output. The paper and this project use different loads and model sets, so this comparison is an educational check of the circuit behavior rather than an identical-condition reproduction.</w:t>
      </w:r>
    </w:p>
    <w:p>
      <w:r>
        <w:t>Keywords: MCML; charge pump; PLL; Cadence Virtuoso; delay; output swing.</w:t>
      </w:r>
    </w:p>
    <w:p>
      <w:pPr>
        <w:pStyle w:val="Heading1"/>
      </w:pPr>
      <w:r>
        <w:t>1. Introduction</w:t>
      </w:r>
    </w:p>
    <w:p>
      <w:r>
        <w:t>A charge pump is an important part of a phase-locked loop. Its UP and DN inputs move the output voltage up or down to help control the loop. For this project, we studied a two-stage MCML charge pump operating with a 10 GHz input period. We aimed to draw and check the circuit in Virtuoso, simulate both charging and discharging, and compare the output swing and delay with values reported in [1].</w:t>
      </w:r>
    </w:p>
    <w:p>
      <w:pPr>
        <w:pStyle w:val="Heading1"/>
      </w:pPr>
      <w:r>
        <w:t>2. Literature Review and Research Gap</w:t>
      </w:r>
    </w:p>
    <w:p>
      <w:r>
        <w:t>The reference paper [1] combines a switch-based charge pump with an MCML current-driving stage. It reports a delay of 16.71 ps, average power of 13.19 µW, and output swing from 0 to 0.98 V at a 1 V supply. Our project follows the same general circuit idea. The paper used a 10 pF load, while our testbench has a 300 fF internal load, so the two sets of numbers are useful for a basic comparison but are not directly equivalent.</w:t>
      </w:r>
    </w:p>
    <w:tbl>
      <w:tblPr>
        <w:tblStyle w:val="TableGrid"/>
        <w:tblW w:type="auto" w:w="0"/>
        <w:jc w:val="center"/>
        <w:tblLook w:firstColumn="1" w:firstRow="1" w:lastColumn="0" w:lastRow="0" w:noHBand="0" w:noVBand="1" w:val="04A0"/>
      </w:tblPr>
      <w:tblGrid>
        <w:gridCol w:w="2461"/>
        <w:gridCol w:w="2461"/>
        <w:gridCol w:w="2461"/>
        <w:gridCol w:w="2461"/>
      </w:tblGrid>
      <w:tr>
        <w:tc>
          <w:tcPr>
            <w:tcW w:type="dxa" w:w="2461"/>
          </w:tcPr>
          <w:p>
            <w:r>
              <w:rPr>
                <w:b/>
                <w:sz w:val="18"/>
              </w:rPr>
              <w:t>Reference</w:t>
            </w:r>
          </w:p>
        </w:tc>
        <w:tc>
          <w:tcPr>
            <w:tcW w:type="dxa" w:w="2461"/>
          </w:tcPr>
          <w:p>
            <w:r>
              <w:rPr>
                <w:b/>
                <w:sz w:val="18"/>
              </w:rPr>
              <w:t>Architecture and conditions</w:t>
            </w:r>
          </w:p>
        </w:tc>
        <w:tc>
          <w:tcPr>
            <w:tcW w:type="dxa" w:w="2461"/>
          </w:tcPr>
          <w:p>
            <w:r>
              <w:rPr>
                <w:b/>
                <w:sz w:val="18"/>
              </w:rPr>
              <w:t>Reported result</w:t>
            </w:r>
          </w:p>
        </w:tc>
        <w:tc>
          <w:tcPr>
            <w:tcW w:type="dxa" w:w="2461"/>
          </w:tcPr>
          <w:p>
            <w:r>
              <w:rPr>
                <w:b/>
                <w:sz w:val="18"/>
              </w:rPr>
              <w:t>Relevance</w:t>
            </w:r>
          </w:p>
        </w:tc>
      </w:tr>
      <w:tr>
        <w:tc>
          <w:tcPr>
            <w:tcW w:type="dxa" w:w="2461"/>
            <w:vAlign w:val="center"/>
          </w:tcPr>
          <w:p>
            <w:pPr>
              <w:spacing w:after="0"/>
            </w:pPr>
            <w:r>
              <w:rPr>
                <w:sz w:val="18"/>
              </w:rPr>
              <w:t>[1] Sivasakthi and Radhika</w:t>
            </w:r>
          </w:p>
        </w:tc>
        <w:tc>
          <w:tcPr>
            <w:tcW w:type="dxa" w:w="2461"/>
            <w:vAlign w:val="center"/>
          </w:tcPr>
          <w:p>
            <w:pPr>
              <w:spacing w:after="0"/>
            </w:pPr>
            <w:r>
              <w:rPr>
                <w:sz w:val="18"/>
              </w:rPr>
              <w:t>Two-stage switch-based + MCML charge pump; 45 nm, 1 V; paper Table 2 load 10 pF</w:t>
            </w:r>
          </w:p>
        </w:tc>
        <w:tc>
          <w:tcPr>
            <w:tcW w:type="dxa" w:w="2461"/>
            <w:vAlign w:val="center"/>
          </w:tcPr>
          <w:p>
            <w:pPr>
              <w:spacing w:after="0"/>
            </w:pPr>
            <w:r>
              <w:rPr>
                <w:sz w:val="18"/>
              </w:rPr>
              <w:t>16.71 ps minimum delay; 13.19 µW average power; 0–0.98 V swing</w:t>
            </w:r>
          </w:p>
        </w:tc>
        <w:tc>
          <w:tcPr>
            <w:tcW w:type="dxa" w:w="2461"/>
            <w:vAlign w:val="center"/>
          </w:tcPr>
          <w:p>
            <w:pPr>
              <w:spacing w:after="0"/>
            </w:pPr>
            <w:r>
              <w:rPr>
                <w:sz w:val="18"/>
              </w:rPr>
              <w:t>Topology reference; numerical values are not a matched baseline for this model/load set.</w:t>
            </w:r>
          </w:p>
        </w:tc>
      </w:tr>
    </w:tbl>
    <w:p>
      <w:pPr>
        <w:spacing w:after="0"/>
      </w:pPr>
    </w:p>
    <w:p>
      <w:pPr>
        <w:pStyle w:val="Heading1"/>
      </w:pPr>
      <w:r>
        <w:t>3. Proposed Work and Design Methodology</w:t>
      </w:r>
    </w:p>
    <w:p>
      <w:r>
        <w:t>The circuit has a primary switching stage and a secondary MCML stage. It uses a 50 fF internal capacitor and a 300 fF load capacitor. The testbench applies complementary UP and UP_b pulses for charging; DN = 0 V and DN_b = 1.0 V during that run. A separate control setting gives the discharging response. VDD is 1.0 V, Vbias is 0.45 V, and the output node is Vop. The schematic uses one connected analogLib ground.</w:t>
      </w:r>
    </w:p>
    <w:p>
      <w:r>
        <w:t>We used Virtuoso to check the schematic, loaded the ADE L step1_final state, and ran a 10 ns transient analysis with a 0.5 ps maximum step. We viewed charging and discharging separately in ViVA. The ADE Calculator was used to obtain delay, power, and settled output voltage from the saved results. The numerical simulator and model set are identified in the setup table below.</w:t>
      </w:r>
    </w:p>
    <w:p>
      <w:r>
        <w:br w:type="page"/>
      </w:r>
    </w:p>
    <w:p>
      <w:pPr>
        <w:pStyle w:val="Heading1"/>
      </w:pPr>
      <w:r>
        <w:t>4. Circuit Schematic and Design Explanation</w:t>
      </w:r>
    </w:p>
    <w:p>
      <w:r>
        <w:t>Figure 1(a) shows the reference schematic diagram of the proposed Faster Current Driving Charge Pump (FCD-CP) from the research paper by Sivasakthi and Radhika [1]. The topology combines two coordinated sections: (1) a primary switch-based charge pump with switching transistors S1–S4 and interconnect capacitor Ci to minimize output glitches and cancel charge injection, and (2) a secondary MOS current mode logic (MCML) faster current driving charge pump stage consisting of PMOS active load transistors M1–M2, differential input transistors M3–M4, current-steering switches S5–S6, and bias current source M5.</w:t>
      </w:r>
    </w:p>
    <w:p>
      <w:pPr>
        <w:keepNext/>
        <w:spacing w:before="100" w:after="40"/>
        <w:jc w:val="center"/>
      </w:pPr>
      <w:r>
        <w:drawing>
          <wp:inline xmlns:a="http://schemas.openxmlformats.org/drawingml/2006/main" xmlns:pic="http://schemas.openxmlformats.org/drawingml/2006/picture">
            <wp:extent cx="4480560" cy="3306942"/>
            <wp:docPr id="1" name="Picture 1"/>
            <wp:cNvGraphicFramePr>
              <a:graphicFrameLocks noChangeAspect="1"/>
            </wp:cNvGraphicFramePr>
            <a:graphic>
              <a:graphicData uri="http://schemas.openxmlformats.org/drawingml/2006/picture">
                <pic:pic>
                  <pic:nvPicPr>
                    <pic:cNvPr id="0" name="paper_mcml_charge_pump_schematic.png"/>
                    <pic:cNvPicPr/>
                  </pic:nvPicPr>
                  <pic:blipFill>
                    <a:blip r:embed="rId16"/>
                    <a:stretch>
                      <a:fillRect/>
                    </a:stretch>
                  </pic:blipFill>
                  <pic:spPr>
                    <a:xfrm>
                      <a:off x="0" y="0"/>
                      <a:ext cx="4480560" cy="3306942"/>
                    </a:xfrm>
                    <a:prstGeom prst="rect"/>
                  </pic:spPr>
                </pic:pic>
              </a:graphicData>
            </a:graphic>
          </wp:inline>
        </w:drawing>
      </w:r>
    </w:p>
    <w:p>
      <w:pPr>
        <w:keepLines/>
        <w:spacing w:after="160"/>
        <w:jc w:val="center"/>
      </w:pPr>
      <w:r>
        <w:rPr>
          <w:i/>
          <w:sz w:val="18"/>
        </w:rPr>
        <w:t>Fig. 1(a). Schematic diagram of the Faster Current Driving MCML Charge Pump (FCD-CP) from the reference research paper [1].</w:t>
      </w:r>
    </w:p>
    <w:p>
      <w:r>
        <w:t>Figure 1(b) shows the completed transistor-level schematic capture in Cadence Virtuoso IC6.1.7 replicating this architecture. The primary stage provides switching action, while the secondary MCML stage delivers high-speed driving current to accelerate PLL acquisition. The Vop node connects to the internal 300 fF load capacitor. Transistor M5 provides the tail current biased at 0.45 V. Signal names and device sizing follow the reference design specifications.</w:t>
      </w:r>
    </w:p>
    <w:p>
      <w:pPr>
        <w:keepNext/>
        <w:spacing w:before="100" w:after="40"/>
        <w:jc w:val="center"/>
      </w:pPr>
      <w:r>
        <w:drawing>
          <wp:inline xmlns:a="http://schemas.openxmlformats.org/drawingml/2006/main" xmlns:pic="http://schemas.openxmlformats.org/drawingml/2006/picture">
            <wp:extent cx="5212080" cy="2738378"/>
            <wp:docPr id="2" name="Picture 2"/>
            <wp:cNvGraphicFramePr>
              <a:graphicFrameLocks noChangeAspect="1"/>
            </wp:cNvGraphicFramePr>
            <a:graphic>
              <a:graphicData uri="http://schemas.openxmlformats.org/drawingml/2006/picture">
                <pic:pic>
                  <pic:nvPicPr>
                    <pic:cNvPr id="0" name="00_mcml_charge_pump_lowercase.png"/>
                    <pic:cNvPicPr/>
                  </pic:nvPicPr>
                  <pic:blipFill>
                    <a:blip r:embed="rId17"/>
                    <a:stretch>
                      <a:fillRect/>
                    </a:stretch>
                  </pic:blipFill>
                  <pic:spPr>
                    <a:xfrm>
                      <a:off x="0" y="0"/>
                      <a:ext cx="5212080" cy="2738378"/>
                    </a:xfrm>
                    <a:prstGeom prst="rect"/>
                  </pic:spPr>
                </pic:pic>
              </a:graphicData>
            </a:graphic>
          </wp:inline>
        </w:drawing>
      </w:r>
    </w:p>
    <w:p>
      <w:pPr>
        <w:keepLines/>
        <w:spacing w:after="160"/>
        <w:jc w:val="center"/>
      </w:pPr>
      <w:r>
        <w:rPr>
          <w:i/>
          <w:sz w:val="18"/>
        </w:rPr>
        <w:t>Fig. 1(b). Completed mcml_charge_pump schematic in Cadence Virtuoso.</w:t>
      </w:r>
    </w:p>
    <w:p>
      <w:r>
        <w:t>Figure 2 shows the corresponding Virtuoso transient simulation testbench configured with supply rails (VDD = 1.0 V), bias voltage (Vbias = 0.45 V), differential 10 GHz input pulse sources (UP, UP_b, DN, DN_b), analogLib ground reference, and output probe Vop.</w:t>
      </w:r>
    </w:p>
    <w:p>
      <w:pPr>
        <w:keepNext/>
        <w:spacing w:before="100" w:after="40"/>
        <w:jc w:val="center"/>
      </w:pPr>
      <w:r>
        <w:drawing>
          <wp:inline xmlns:a="http://schemas.openxmlformats.org/drawingml/2006/main" xmlns:pic="http://schemas.openxmlformats.org/drawingml/2006/picture">
            <wp:extent cx="5303520" cy="3299968"/>
            <wp:docPr id="3" name="Picture 3"/>
            <wp:cNvGraphicFramePr>
              <a:graphicFrameLocks noChangeAspect="1"/>
            </wp:cNvGraphicFramePr>
            <a:graphic>
              <a:graphicData uri="http://schemas.openxmlformats.org/drawingml/2006/picture">
                <pic:pic>
                  <pic:nvPicPr>
                    <pic:cNvPr id="0" name="01_testbench_schematic.png"/>
                    <pic:cNvPicPr/>
                  </pic:nvPicPr>
                  <pic:blipFill>
                    <a:blip r:embed="rId18"/>
                    <a:stretch>
                      <a:fillRect/>
                    </a:stretch>
                  </pic:blipFill>
                  <pic:spPr>
                    <a:xfrm>
                      <a:off x="0" y="0"/>
                      <a:ext cx="5303520" cy="3299968"/>
                    </a:xfrm>
                    <a:prstGeom prst="rect"/>
                  </pic:spPr>
                </pic:pic>
              </a:graphicData>
            </a:graphic>
          </wp:inline>
        </w:drawing>
      </w:r>
    </w:p>
    <w:p>
      <w:pPr>
        <w:keepLines/>
        <w:spacing w:after="160"/>
        <w:jc w:val="center"/>
      </w:pPr>
      <w:r>
        <w:rPr>
          <w:i/>
          <w:sz w:val="18"/>
        </w:rPr>
        <w:t>Fig. 2. Virtuoso transient testbench with VDD, Vbias, UP/UP_b, DN/DN_b, ground, and Vop connections.</w:t>
      </w:r>
    </w:p>
    <w:p>
      <w:r>
        <w:t>The transient testbench simulates both charging and discharging modes under authentic 10 GHz clock stimulus. For the charging verification, complementary pulses with a 100 ps period (50% duty cycle, 1 ps rise/fall times) are applied to UP and UP_b, while DN is held at 0 V and DN_b at 1.0 V. For the discharging verification, active switching pulses are applied to DN and DN_b with UP held low and UP_b high. The internal load capacitor CL = 300 fF models the capacitive loading presented by subsequent filter and VCO stages. The tail current source transistor M5 is biased in saturation by the dedicated DC source Vbias = 0.45 V, ensuring continuous, glitch-free tail current steering through the MCML differential branches.</w:t>
      </w:r>
    </w:p>
    <w:p>
      <w:r>
        <w:br w:type="page"/>
      </w:r>
    </w:p>
    <w:p>
      <w:pPr>
        <w:pStyle w:val="Heading1"/>
      </w:pPr>
      <w:r>
        <w:t>5. Simulation Setup and Measurement Method</w:t>
      </w:r>
    </w:p>
    <w:tbl>
      <w:tblPr>
        <w:tblStyle w:val="TableGrid"/>
        <w:tblW w:type="auto" w:w="0"/>
        <w:jc w:val="center"/>
        <w:tblLook w:firstColumn="1" w:firstRow="1" w:lastColumn="0" w:lastRow="0" w:noHBand="0" w:noVBand="1" w:val="04A0"/>
      </w:tblPr>
      <w:tblGrid>
        <w:gridCol w:w="4923"/>
        <w:gridCol w:w="4923"/>
      </w:tblGrid>
      <w:tr>
        <w:tc>
          <w:tcPr>
            <w:tcW w:type="dxa" w:w="4923"/>
          </w:tcPr>
          <w:p>
            <w:r>
              <w:rPr>
                <w:b/>
                <w:sz w:val="18"/>
              </w:rPr>
              <w:t>Parameter</w:t>
            </w:r>
          </w:p>
        </w:tc>
        <w:tc>
          <w:tcPr>
            <w:tcW w:type="dxa" w:w="4923"/>
          </w:tcPr>
          <w:p>
            <w:r>
              <w:rPr>
                <w:b/>
                <w:sz w:val="18"/>
              </w:rPr>
              <w:t>Setting / method</w:t>
            </w:r>
          </w:p>
        </w:tc>
      </w:tr>
      <w:tr>
        <w:tc>
          <w:tcPr>
            <w:tcW w:type="dxa" w:w="4923"/>
            <w:vAlign w:val="center"/>
          </w:tcPr>
          <w:p>
            <w:pPr>
              <w:spacing w:after="0"/>
            </w:pPr>
            <w:r>
              <w:rPr>
                <w:sz w:val="18"/>
              </w:rPr>
              <w:t>Schematic source</w:t>
            </w:r>
          </w:p>
        </w:tc>
        <w:tc>
          <w:tcPr>
            <w:tcW w:type="dxa" w:w="4923"/>
            <w:vAlign w:val="center"/>
          </w:tcPr>
          <w:p>
            <w:pPr>
              <w:spacing w:after="0"/>
            </w:pPr>
            <w:r>
              <w:rPr>
                <w:sz w:val="18"/>
              </w:rPr>
              <w:t>Checked tb_mcml_charge_pump/schematic; 22 components, zero netlisting warnings/errors at the prior testbench check.</w:t>
            </w:r>
          </w:p>
        </w:tc>
      </w:tr>
      <w:tr>
        <w:tc>
          <w:tcPr>
            <w:tcW w:type="dxa" w:w="4923"/>
            <w:vAlign w:val="center"/>
          </w:tcPr>
          <w:p>
            <w:pPr>
              <w:spacing w:after="0"/>
            </w:pPr>
            <w:r>
              <w:rPr>
                <w:sz w:val="18"/>
              </w:rPr>
              <w:t>Simulator and model provenance</w:t>
            </w:r>
          </w:p>
        </w:tc>
        <w:tc>
          <w:tcPr>
            <w:tcW w:type="dxa" w:w="4923"/>
            <w:vAlign w:val="center"/>
          </w:tcPr>
          <w:p>
            <w:pPr>
              <w:spacing w:after="0"/>
            </w:pPr>
            <w:r>
              <w:rPr>
                <w:sz w:val="18"/>
              </w:rPr>
              <w:t>Virtuoso 6.1.7 uses gpdk045 symbols and ADE L launches the run. A local bridge uses ngspice 45.2 with FreePDK45 nominal VTG transistor models for numerical simulation. Cadence Spectre and its gpdk045 numerical model library were not used.</w:t>
            </w:r>
          </w:p>
        </w:tc>
      </w:tr>
      <w:tr>
        <w:tc>
          <w:tcPr>
            <w:tcW w:type="dxa" w:w="4923"/>
            <w:vAlign w:val="center"/>
          </w:tcPr>
          <w:p>
            <w:pPr>
              <w:spacing w:after="0"/>
            </w:pPr>
            <w:r>
              <w:rPr>
                <w:sz w:val="18"/>
              </w:rPr>
              <w:t>Electrical conditions</w:t>
            </w:r>
          </w:p>
        </w:tc>
        <w:tc>
          <w:tcPr>
            <w:tcW w:type="dxa" w:w="4923"/>
            <w:vAlign w:val="center"/>
          </w:tcPr>
          <w:p>
            <w:pPr>
              <w:spacing w:after="0"/>
            </w:pPr>
            <w:r>
              <w:rPr>
                <w:sz w:val="18"/>
              </w:rPr>
              <w:t>VDD = 1.0 V; Vbias = 0.45 V; 27 °C; 10 GHz control period; internal CL = 300 fF; Ci = 50 fF.</w:t>
            </w:r>
          </w:p>
        </w:tc>
      </w:tr>
      <w:tr>
        <w:tc>
          <w:tcPr>
            <w:tcW w:type="dxa" w:w="4923"/>
            <w:vAlign w:val="center"/>
          </w:tcPr>
          <w:p>
            <w:pPr>
              <w:spacing w:after="0"/>
            </w:pPr>
            <w:r>
              <w:rPr>
                <w:sz w:val="18"/>
              </w:rPr>
              <w:t>Transient</w:t>
            </w:r>
          </w:p>
        </w:tc>
        <w:tc>
          <w:tcPr>
            <w:tcW w:type="dxa" w:w="4923"/>
            <w:vAlign w:val="center"/>
          </w:tcPr>
          <w:p>
            <w:pPr>
              <w:spacing w:after="0"/>
            </w:pPr>
            <w:r>
              <w:rPr>
                <w:sz w:val="18"/>
              </w:rPr>
              <w:t>10 ns stop, 0.5 ps maximum step; independent charge and discharge runs; 80 ns runs for settled swing.</w:t>
            </w:r>
          </w:p>
        </w:tc>
      </w:tr>
      <w:tr>
        <w:tc>
          <w:tcPr>
            <w:tcW w:type="dxa" w:w="4923"/>
            <w:vAlign w:val="center"/>
          </w:tcPr>
          <w:p>
            <w:pPr>
              <w:spacing w:after="0"/>
            </w:pPr>
            <w:r>
              <w:rPr>
                <w:sz w:val="18"/>
              </w:rPr>
              <w:t>Delay</w:t>
            </w:r>
          </w:p>
        </w:tc>
        <w:tc>
          <w:tcPr>
            <w:tcW w:type="dxa" w:w="4923"/>
            <w:vAlign w:val="center"/>
          </w:tcPr>
          <w:p>
            <w:pPr>
              <w:spacing w:after="0"/>
            </w:pPr>
            <w:r>
              <w:rPr>
                <w:sz w:val="18"/>
              </w:rPr>
              <w:t>UP/DN 0.5 V rising edge to first local Vop midpoint crossing; 10-edge mean over pulses 11–20.</w:t>
            </w:r>
          </w:p>
        </w:tc>
      </w:tr>
      <w:tr>
        <w:tc>
          <w:tcPr>
            <w:tcW w:type="dxa" w:w="4923"/>
            <w:vAlign w:val="center"/>
          </w:tcPr>
          <w:p>
            <w:pPr>
              <w:spacing w:after="0"/>
            </w:pPr>
            <w:r>
              <w:rPr>
                <w:sz w:val="18"/>
              </w:rPr>
              <w:t>Power</w:t>
            </w:r>
          </w:p>
        </w:tc>
        <w:tc>
          <w:tcPr>
            <w:tcW w:type="dxa" w:w="4923"/>
            <w:vAlign w:val="center"/>
          </w:tcPr>
          <w:p>
            <w:pPr>
              <w:spacing w:after="0"/>
            </w:pPr>
            <w:r>
              <w:rPr>
                <w:sz w:val="18"/>
              </w:rPr>
              <w:t>−1.0 V × mean VDD-source current from 1 to 10 ns; excludes power supplied by control sources.</w:t>
            </w:r>
          </w:p>
        </w:tc>
      </w:tr>
      <w:tr>
        <w:tc>
          <w:tcPr>
            <w:tcW w:type="dxa" w:w="4923"/>
            <w:vAlign w:val="center"/>
          </w:tcPr>
          <w:p>
            <w:pPr>
              <w:spacing w:after="0"/>
            </w:pPr>
            <w:r>
              <w:rPr>
                <w:sz w:val="18"/>
              </w:rPr>
              <w:t>Paper comparison</w:t>
            </w:r>
          </w:p>
        </w:tc>
        <w:tc>
          <w:tcPr>
            <w:tcW w:type="dxa" w:w="4923"/>
            <w:vAlign w:val="center"/>
          </w:tcPr>
          <w:p>
            <w:pPr>
              <w:spacing w:after="0"/>
            </w:pPr>
            <w:r>
              <w:rPr>
                <w:sz w:val="18"/>
              </w:rPr>
              <w:t>Use an illustrative ±10% window for delay and settled output swing; the paper does not specify this as its acceptance criterion.</w:t>
            </w:r>
          </w:p>
        </w:tc>
      </w:tr>
      <w:tr>
        <w:tc>
          <w:tcPr>
            <w:tcW w:type="dxa" w:w="4923"/>
            <w:vAlign w:val="center"/>
          </w:tcPr>
          <w:p>
            <w:pPr>
              <w:spacing w:after="0"/>
            </w:pPr>
            <w:r>
              <w:rPr>
                <w:sz w:val="18"/>
              </w:rPr>
              <w:t>Area</w:t>
            </w:r>
          </w:p>
        </w:tc>
        <w:tc>
          <w:tcPr>
            <w:tcW w:type="dxa" w:w="4923"/>
            <w:vAlign w:val="center"/>
          </w:tcPr>
          <w:p>
            <w:pPr>
              <w:spacing w:after="0"/>
            </w:pPr>
            <w:r>
              <w:rPr>
                <w:sz w:val="18"/>
              </w:rPr>
              <w:t>Not reported: no layout or extracted cell area was measured.</w:t>
            </w:r>
          </w:p>
        </w:tc>
      </w:tr>
    </w:tbl>
    <w:p>
      <w:pPr>
        <w:spacing w:after="0"/>
      </w:pPr>
    </w:p>
    <w:p>
      <w:pPr>
        <w:keepNext/>
        <w:spacing w:before="100" w:after="40"/>
        <w:jc w:val="center"/>
      </w:pPr>
      <w:r>
        <w:drawing>
          <wp:inline xmlns:a="http://schemas.openxmlformats.org/drawingml/2006/main" xmlns:pic="http://schemas.openxmlformats.org/drawingml/2006/picture">
            <wp:extent cx="6126480" cy="5045336"/>
            <wp:docPr id="4" name="Picture 4"/>
            <wp:cNvGraphicFramePr>
              <a:graphicFrameLocks noChangeAspect="1"/>
            </wp:cNvGraphicFramePr>
            <a:graphic>
              <a:graphicData uri="http://schemas.openxmlformats.org/drawingml/2006/picture">
                <pic:pic>
                  <pic:nvPicPr>
                    <pic:cNvPr id="0" name="02_ade_step1_final.png"/>
                    <pic:cNvPicPr/>
                  </pic:nvPicPr>
                  <pic:blipFill>
                    <a:blip r:embed="rId19"/>
                    <a:stretch>
                      <a:fillRect/>
                    </a:stretch>
                  </pic:blipFill>
                  <pic:spPr>
                    <a:xfrm>
                      <a:off x="0" y="0"/>
                      <a:ext cx="6126480" cy="5045336"/>
                    </a:xfrm>
                    <a:prstGeom prst="rect"/>
                  </pic:spPr>
                </pic:pic>
              </a:graphicData>
            </a:graphic>
          </wp:inline>
        </w:drawing>
      </w:r>
    </w:p>
    <w:p>
      <w:pPr>
        <w:keepLines/>
        <w:spacing w:after="160"/>
        <w:jc w:val="center"/>
      </w:pPr>
      <w:r>
        <w:rPr>
          <w:i/>
          <w:sz w:val="18"/>
        </w:rPr>
        <w:t>Fig. 3. Setup ADE L with initial conditions and stimuli.</w:t>
      </w:r>
    </w:p>
    <w:p>
      <w:pPr>
        <w:pStyle w:val="Heading1"/>
      </w:pPr>
      <w:r>
        <w:t>6. Results and Discussion</w:t>
      </w:r>
    </w:p>
    <w:p>
      <w:r>
        <w:t>The ViVA plots show Vop increasing during charging and decreasing during discharging. The 10 ns runs show the switching behavior. Longer 80 ns runs were used to read the final high and low output levels.</w:t>
      </w:r>
    </w:p>
    <w:p>
      <w:pPr>
        <w:keepNext/>
        <w:spacing w:before="100" w:after="40"/>
        <w:jc w:val="center"/>
      </w:pPr>
      <w:r>
        <w:drawing>
          <wp:inline xmlns:a="http://schemas.openxmlformats.org/drawingml/2006/main" xmlns:pic="http://schemas.openxmlformats.org/drawingml/2006/picture">
            <wp:extent cx="6126480" cy="4137363"/>
            <wp:docPr id="5" name="Picture 5"/>
            <wp:cNvGraphicFramePr>
              <a:graphicFrameLocks noChangeAspect="1"/>
            </wp:cNvGraphicFramePr>
            <a:graphic>
              <a:graphicData uri="http://schemas.openxmlformats.org/drawingml/2006/picture">
                <pic:pic>
                  <pic:nvPicPr>
                    <pic:cNvPr id="0" name="03_viva_charge.png"/>
                    <pic:cNvPicPr/>
                  </pic:nvPicPr>
                  <pic:blipFill>
                    <a:blip r:embed="rId20"/>
                    <a:stretch>
                      <a:fillRect/>
                    </a:stretch>
                  </pic:blipFill>
                  <pic:spPr>
                    <a:xfrm>
                      <a:off x="0" y="0"/>
                      <a:ext cx="6126480" cy="4137363"/>
                    </a:xfrm>
                    <a:prstGeom prst="rect"/>
                  </pic:spPr>
                </pic:pic>
              </a:graphicData>
            </a:graphic>
          </wp:inline>
        </w:drawing>
      </w:r>
    </w:p>
    <w:p>
      <w:pPr>
        <w:keepLines/>
        <w:spacing w:after="160"/>
        <w:jc w:val="center"/>
      </w:pPr>
      <w:r>
        <w:rPr>
          <w:i/>
          <w:sz w:val="18"/>
        </w:rPr>
        <w:t>Fig. 4(a). Charging transient displayed in Cadence ViVA from the saved PSF result.</w:t>
      </w:r>
    </w:p>
    <w:p>
      <w:pPr>
        <w:keepNext/>
        <w:spacing w:before="100" w:after="40"/>
        <w:jc w:val="center"/>
      </w:pPr>
      <w:r>
        <w:drawing>
          <wp:inline xmlns:a="http://schemas.openxmlformats.org/drawingml/2006/main" xmlns:pic="http://schemas.openxmlformats.org/drawingml/2006/picture">
            <wp:extent cx="6126480" cy="4137363"/>
            <wp:docPr id="6" name="Picture 6"/>
            <wp:cNvGraphicFramePr>
              <a:graphicFrameLocks noChangeAspect="1"/>
            </wp:cNvGraphicFramePr>
            <a:graphic>
              <a:graphicData uri="http://schemas.openxmlformats.org/drawingml/2006/picture">
                <pic:pic>
                  <pic:nvPicPr>
                    <pic:cNvPr id="0" name="04_viva_discharge.png"/>
                    <pic:cNvPicPr/>
                  </pic:nvPicPr>
                  <pic:blipFill>
                    <a:blip r:embed="rId21"/>
                    <a:stretch>
                      <a:fillRect/>
                    </a:stretch>
                  </pic:blipFill>
                  <pic:spPr>
                    <a:xfrm>
                      <a:off x="0" y="0"/>
                      <a:ext cx="6126480" cy="4137363"/>
                    </a:xfrm>
                    <a:prstGeom prst="rect"/>
                  </pic:spPr>
                </pic:pic>
              </a:graphicData>
            </a:graphic>
          </wp:inline>
        </w:drawing>
      </w:r>
    </w:p>
    <w:p>
      <w:pPr>
        <w:keepLines/>
        <w:spacing w:after="160"/>
        <w:jc w:val="center"/>
      </w:pPr>
      <w:r>
        <w:rPr>
          <w:i/>
          <w:sz w:val="18"/>
        </w:rPr>
        <w:t>Fig. 4(b). Discharging transient in a separate Cadence ViVA view from the discharge PSF.</w:t>
      </w:r>
    </w:p>
    <w:tbl>
      <w:tblPr>
        <w:tblStyle w:val="TableGrid"/>
        <w:tblW w:type="auto" w:w="0"/>
        <w:jc w:val="center"/>
        <w:tblLook w:firstColumn="1" w:firstRow="1" w:lastColumn="0" w:lastRow="0" w:noHBand="0" w:noVBand="1" w:val="04A0"/>
      </w:tblPr>
      <w:tblGrid>
        <w:gridCol w:w="3282"/>
        <w:gridCol w:w="3282"/>
        <w:gridCol w:w="3282"/>
      </w:tblGrid>
      <w:tr>
        <w:tc>
          <w:tcPr>
            <w:tcW w:type="dxa" w:w="3282"/>
          </w:tcPr>
          <w:p>
            <w:r>
              <w:rPr>
                <w:b/>
                <w:sz w:val="18"/>
              </w:rPr>
              <w:t>Measured quantity</w:t>
            </w:r>
          </w:p>
        </w:tc>
        <w:tc>
          <w:tcPr>
            <w:tcW w:type="dxa" w:w="3282"/>
          </w:tcPr>
          <w:p>
            <w:r>
              <w:rPr>
                <w:b/>
                <w:sz w:val="18"/>
              </w:rPr>
              <w:t>Charging</w:t>
            </w:r>
          </w:p>
        </w:tc>
        <w:tc>
          <w:tcPr>
            <w:tcW w:type="dxa" w:w="3282"/>
          </w:tcPr>
          <w:p>
            <w:r>
              <w:rPr>
                <w:b/>
                <w:sz w:val="18"/>
              </w:rPr>
              <w:t>Discharging</w:t>
            </w:r>
          </w:p>
        </w:tc>
      </w:tr>
      <w:tr>
        <w:tc>
          <w:tcPr>
            <w:tcW w:type="dxa" w:w="3282"/>
            <w:vAlign w:val="center"/>
          </w:tcPr>
          <w:p>
            <w:pPr>
              <w:spacing w:after="0"/>
            </w:pPr>
            <w:r>
              <w:rPr>
                <w:sz w:val="18"/>
              </w:rPr>
              <w:t>Ten-edge mean delay</w:t>
            </w:r>
          </w:p>
        </w:tc>
        <w:tc>
          <w:tcPr>
            <w:tcW w:type="dxa" w:w="3282"/>
            <w:vAlign w:val="center"/>
          </w:tcPr>
          <w:p>
            <w:pPr>
              <w:spacing w:after="0"/>
            </w:pPr>
            <w:r>
              <w:rPr>
                <w:sz w:val="18"/>
              </w:rPr>
              <w:t>13.811 ps</w:t>
            </w:r>
          </w:p>
        </w:tc>
        <w:tc>
          <w:tcPr>
            <w:tcW w:type="dxa" w:w="3282"/>
            <w:vAlign w:val="center"/>
          </w:tcPr>
          <w:p>
            <w:pPr>
              <w:spacing w:after="0"/>
            </w:pPr>
            <w:r>
              <w:rPr>
                <w:sz w:val="18"/>
              </w:rPr>
              <w:t>15.447 ps</w:t>
            </w:r>
          </w:p>
        </w:tc>
      </w:tr>
      <w:tr>
        <w:tc>
          <w:tcPr>
            <w:tcW w:type="dxa" w:w="3282"/>
            <w:vAlign w:val="center"/>
          </w:tcPr>
          <w:p>
            <w:pPr>
              <w:spacing w:after="0"/>
            </w:pPr>
            <w:r>
              <w:rPr>
                <w:sz w:val="18"/>
              </w:rPr>
              <w:t>Average VDD power, 1–10 ns</w:t>
            </w:r>
          </w:p>
        </w:tc>
        <w:tc>
          <w:tcPr>
            <w:tcW w:type="dxa" w:w="3282"/>
            <w:vAlign w:val="center"/>
          </w:tcPr>
          <w:p>
            <w:pPr>
              <w:spacing w:after="0"/>
            </w:pPr>
            <w:r>
              <w:rPr>
                <w:sz w:val="18"/>
              </w:rPr>
              <w:t>22.528 µW</w:t>
            </w:r>
          </w:p>
        </w:tc>
        <w:tc>
          <w:tcPr>
            <w:tcW w:type="dxa" w:w="3282"/>
            <w:vAlign w:val="center"/>
          </w:tcPr>
          <w:p>
            <w:pPr>
              <w:spacing w:after="0"/>
            </w:pPr>
            <w:r>
              <w:rPr>
                <w:sz w:val="18"/>
              </w:rPr>
              <w:t>16.097 µW</w:t>
            </w:r>
          </w:p>
        </w:tc>
      </w:tr>
      <w:tr>
        <w:tc>
          <w:tcPr>
            <w:tcW w:type="dxa" w:w="3282"/>
            <w:vAlign w:val="center"/>
          </w:tcPr>
          <w:p>
            <w:pPr>
              <w:spacing w:after="0"/>
            </w:pPr>
            <w:r>
              <w:rPr>
                <w:sz w:val="18"/>
              </w:rPr>
              <w:t>Settled Vop level at 80 ns</w:t>
            </w:r>
          </w:p>
        </w:tc>
        <w:tc>
          <w:tcPr>
            <w:tcW w:type="dxa" w:w="3282"/>
            <w:vAlign w:val="center"/>
          </w:tcPr>
          <w:p>
            <w:pPr>
              <w:spacing w:after="0"/>
            </w:pPr>
            <w:r>
              <w:rPr>
                <w:sz w:val="18"/>
              </w:rPr>
              <w:t>0.992875 V</w:t>
            </w:r>
          </w:p>
        </w:tc>
        <w:tc>
          <w:tcPr>
            <w:tcW w:type="dxa" w:w="3282"/>
            <w:vAlign w:val="center"/>
          </w:tcPr>
          <w:p>
            <w:pPr>
              <w:spacing w:after="0"/>
            </w:pPr>
            <w:r>
              <w:rPr>
                <w:sz w:val="18"/>
              </w:rPr>
              <w:t>−0.000648 V</w:t>
            </w:r>
          </w:p>
        </w:tc>
      </w:tr>
    </w:tbl>
    <w:p>
      <w:pPr>
        <w:spacing w:after="0"/>
      </w:pPr>
    </w:p>
    <w:p>
      <w:r>
        <w:t>The final high output is about 0.992875 V and the final low output is about −0.000648 V, giving a measured voltage swing of 0.993524 V. This is close to the 0.98 V output swing stated in [1], with a 1.38% numerical difference. The 300 fF load and model set differ from the paper, so the comparison is approximate.</w:t>
      </w:r>
    </w:p>
    <w:p>
      <w:pPr>
        <w:keepNext/>
        <w:spacing w:before="100" w:after="40"/>
        <w:jc w:val="center"/>
      </w:pPr>
      <w:r>
        <w:drawing>
          <wp:inline xmlns:a="http://schemas.openxmlformats.org/drawingml/2006/main" xmlns:pic="http://schemas.openxmlformats.org/drawingml/2006/picture">
            <wp:extent cx="6126480" cy="3803968"/>
            <wp:docPr id="7" name="Picture 7"/>
            <wp:cNvGraphicFramePr>
              <a:graphicFrameLocks noChangeAspect="1"/>
            </wp:cNvGraphicFramePr>
            <a:graphic>
              <a:graphicData uri="http://schemas.openxmlformats.org/drawingml/2006/picture">
                <pic:pic>
                  <pic:nvPicPr>
                    <pic:cNvPr id="0" name="08_delay_discharge_mean.png"/>
                    <pic:cNvPicPr/>
                  </pic:nvPicPr>
                  <pic:blipFill>
                    <a:blip r:embed="rId22"/>
                    <a:stretch>
                      <a:fillRect/>
                    </a:stretch>
                  </pic:blipFill>
                  <pic:spPr>
                    <a:xfrm>
                      <a:off x="0" y="0"/>
                      <a:ext cx="6126480" cy="3803968"/>
                    </a:xfrm>
                    <a:prstGeom prst="rect"/>
                  </pic:spPr>
                </pic:pic>
              </a:graphicData>
            </a:graphic>
          </wp:inline>
        </w:drawing>
      </w:r>
    </w:p>
    <w:p>
      <w:pPr>
        <w:keepLines/>
        <w:spacing w:after="160"/>
        <w:jc w:val="center"/>
      </w:pPr>
      <w:r>
        <w:rPr>
          <w:i/>
          <w:sz w:val="18"/>
        </w:rPr>
        <w:t>Fig. 5. ADE Calculator result for the average discharging delay: 15.447 ps.</w:t>
      </w:r>
    </w:p>
    <w:p>
      <w:pPr>
        <w:keepNext/>
        <w:spacing w:before="100" w:after="40"/>
        <w:jc w:val="center"/>
      </w:pPr>
      <w:r>
        <w:drawing>
          <wp:inline xmlns:a="http://schemas.openxmlformats.org/drawingml/2006/main" xmlns:pic="http://schemas.openxmlformats.org/drawingml/2006/picture">
            <wp:extent cx="6126480" cy="3803968"/>
            <wp:docPr id="8" name="Picture 8"/>
            <wp:cNvGraphicFramePr>
              <a:graphicFrameLocks noChangeAspect="1"/>
            </wp:cNvGraphicFramePr>
            <a:graphic>
              <a:graphicData uri="http://schemas.openxmlformats.org/drawingml/2006/picture">
                <pic:pic>
                  <pic:nvPicPr>
                    <pic:cNvPr id="0" name="14_swing_combined.png"/>
                    <pic:cNvPicPr/>
                  </pic:nvPicPr>
                  <pic:blipFill>
                    <a:blip r:embed="rId23"/>
                    <a:stretch>
                      <a:fillRect/>
                    </a:stretch>
                  </pic:blipFill>
                  <pic:spPr>
                    <a:xfrm>
                      <a:off x="0" y="0"/>
                      <a:ext cx="6126480" cy="3803968"/>
                    </a:xfrm>
                    <a:prstGeom prst="rect"/>
                  </pic:spPr>
                </pic:pic>
              </a:graphicData>
            </a:graphic>
          </wp:inline>
        </w:drawing>
      </w:r>
    </w:p>
    <w:p>
      <w:pPr>
        <w:keepLines/>
        <w:spacing w:after="160"/>
        <w:jc w:val="center"/>
      </w:pPr>
      <w:r>
        <w:rPr>
          <w:i/>
          <w:sz w:val="18"/>
        </w:rPr>
        <w:t>Fig. 6. ADE Calculator result for the output voltage swing: 0.993524 V.</w:t>
      </w:r>
    </w:p>
    <w:p>
      <w:r>
        <w:br w:type="page"/>
      </w:r>
    </w:p>
    <w:p>
      <w:pPr>
        <w:pStyle w:val="Heading1"/>
      </w:pPr>
      <w:r>
        <w:t>7. Performance Comparison</w:t>
      </w:r>
    </w:p>
    <w:tbl>
      <w:tblPr>
        <w:tblStyle w:val="TableGrid"/>
        <w:tblW w:type="auto" w:w="0"/>
        <w:jc w:val="center"/>
        <w:tblLook w:firstColumn="1" w:firstRow="1" w:lastColumn="0" w:lastRow="0" w:noHBand="0" w:noVBand="1" w:val="04A0"/>
      </w:tblPr>
      <w:tblGrid>
        <w:gridCol w:w="1969"/>
        <w:gridCol w:w="1969"/>
        <w:gridCol w:w="1969"/>
        <w:gridCol w:w="1969"/>
        <w:gridCol w:w="1969"/>
      </w:tblGrid>
      <w:tr>
        <w:tc>
          <w:tcPr>
            <w:tcW w:type="dxa" w:w="1969"/>
          </w:tcPr>
          <w:p>
            <w:r>
              <w:rPr>
                <w:b/>
                <w:sz w:val="18"/>
              </w:rPr>
              <w:t>Design / source</w:t>
            </w:r>
          </w:p>
        </w:tc>
        <w:tc>
          <w:tcPr>
            <w:tcW w:type="dxa" w:w="1969"/>
          </w:tcPr>
          <w:p>
            <w:r>
              <w:rPr>
                <w:b/>
                <w:sz w:val="18"/>
              </w:rPr>
              <w:t>Technology, load</w:t>
            </w:r>
          </w:p>
        </w:tc>
        <w:tc>
          <w:tcPr>
            <w:tcW w:type="dxa" w:w="1969"/>
          </w:tcPr>
          <w:p>
            <w:r>
              <w:rPr>
                <w:b/>
                <w:sz w:val="18"/>
              </w:rPr>
              <w:t>Delay</w:t>
            </w:r>
          </w:p>
        </w:tc>
        <w:tc>
          <w:tcPr>
            <w:tcW w:type="dxa" w:w="1969"/>
          </w:tcPr>
          <w:p>
            <w:r>
              <w:rPr>
                <w:b/>
                <w:sz w:val="18"/>
              </w:rPr>
              <w:t>Power</w:t>
            </w:r>
          </w:p>
        </w:tc>
        <w:tc>
          <w:tcPr>
            <w:tcW w:type="dxa" w:w="1969"/>
          </w:tcPr>
          <w:p>
            <w:r>
              <w:rPr>
                <w:b/>
                <w:sz w:val="18"/>
              </w:rPr>
              <w:t>Output swing</w:t>
            </w:r>
          </w:p>
        </w:tc>
      </w:tr>
      <w:tr>
        <w:tc>
          <w:tcPr>
            <w:tcW w:type="dxa" w:w="1969"/>
            <w:vAlign w:val="center"/>
          </w:tcPr>
          <w:p>
            <w:pPr>
              <w:spacing w:after="0"/>
            </w:pPr>
            <w:r>
              <w:rPr>
                <w:sz w:val="18"/>
              </w:rPr>
              <w:t>Published [1]</w:t>
            </w:r>
          </w:p>
        </w:tc>
        <w:tc>
          <w:tcPr>
            <w:tcW w:type="dxa" w:w="1969"/>
            <w:vAlign w:val="center"/>
          </w:tcPr>
          <w:p>
            <w:pPr>
              <w:spacing w:after="0"/>
            </w:pPr>
            <w:r>
              <w:rPr>
                <w:sz w:val="18"/>
              </w:rPr>
              <w:t>45 nm CMOS; 10 pF paper setup</w:t>
            </w:r>
          </w:p>
        </w:tc>
        <w:tc>
          <w:tcPr>
            <w:tcW w:type="dxa" w:w="1969"/>
            <w:vAlign w:val="center"/>
          </w:tcPr>
          <w:p>
            <w:pPr>
              <w:spacing w:after="0"/>
            </w:pPr>
            <w:r>
              <w:rPr>
                <w:sz w:val="18"/>
              </w:rPr>
              <w:t>16.71 ps minimum</w:t>
            </w:r>
          </w:p>
        </w:tc>
        <w:tc>
          <w:tcPr>
            <w:tcW w:type="dxa" w:w="1969"/>
            <w:vAlign w:val="center"/>
          </w:tcPr>
          <w:p>
            <w:pPr>
              <w:spacing w:after="0"/>
            </w:pPr>
            <w:r>
              <w:rPr>
                <w:sz w:val="18"/>
              </w:rPr>
              <w:t>13.19 µW average</w:t>
            </w:r>
          </w:p>
        </w:tc>
        <w:tc>
          <w:tcPr>
            <w:tcW w:type="dxa" w:w="1969"/>
            <w:vAlign w:val="center"/>
          </w:tcPr>
          <w:p>
            <w:pPr>
              <w:spacing w:after="0"/>
            </w:pPr>
            <w:r>
              <w:rPr>
                <w:sz w:val="18"/>
              </w:rPr>
              <w:t>0–0.98 V reported swing</w:t>
            </w:r>
          </w:p>
        </w:tc>
      </w:tr>
      <w:tr>
        <w:tc>
          <w:tcPr>
            <w:tcW w:type="dxa" w:w="1969"/>
            <w:vAlign w:val="center"/>
          </w:tcPr>
          <w:p>
            <w:pPr>
              <w:spacing w:after="0"/>
            </w:pPr>
            <w:r>
              <w:rPr>
                <w:sz w:val="18"/>
              </w:rPr>
              <w:t>This work: charge</w:t>
            </w:r>
          </w:p>
        </w:tc>
        <w:tc>
          <w:tcPr>
            <w:tcW w:type="dxa" w:w="1969"/>
            <w:vAlign w:val="center"/>
          </w:tcPr>
          <w:p>
            <w:pPr>
              <w:spacing w:after="0"/>
            </w:pPr>
            <w:r>
              <w:rPr>
                <w:sz w:val="18"/>
              </w:rPr>
              <w:t>45 nm nominal VTG models; 300 fF internal CL</w:t>
            </w:r>
          </w:p>
        </w:tc>
        <w:tc>
          <w:tcPr>
            <w:tcW w:type="dxa" w:w="1969"/>
            <w:vAlign w:val="center"/>
          </w:tcPr>
          <w:p>
            <w:pPr>
              <w:spacing w:after="0"/>
            </w:pPr>
            <w:r>
              <w:rPr>
                <w:sz w:val="18"/>
              </w:rPr>
              <w:t>13.811 ps mean</w:t>
            </w:r>
          </w:p>
        </w:tc>
        <w:tc>
          <w:tcPr>
            <w:tcW w:type="dxa" w:w="1969"/>
            <w:vAlign w:val="center"/>
          </w:tcPr>
          <w:p>
            <w:pPr>
              <w:spacing w:after="0"/>
            </w:pPr>
            <w:r>
              <w:rPr>
                <w:sz w:val="18"/>
              </w:rPr>
              <w:t>22.528 µW VDD</w:t>
            </w:r>
          </w:p>
        </w:tc>
        <w:tc>
          <w:tcPr>
            <w:tcW w:type="dxa" w:w="1969"/>
            <w:vAlign w:val="center"/>
          </w:tcPr>
          <w:p>
            <w:pPr>
              <w:spacing w:after="0"/>
            </w:pPr>
            <w:r>
              <w:rPr>
                <w:sz w:val="18"/>
              </w:rPr>
              <w:t>0.993524 V settled swing (combined modes)</w:t>
            </w:r>
          </w:p>
        </w:tc>
      </w:tr>
      <w:tr>
        <w:tc>
          <w:tcPr>
            <w:tcW w:type="dxa" w:w="1969"/>
            <w:vAlign w:val="center"/>
          </w:tcPr>
          <w:p>
            <w:pPr>
              <w:spacing w:after="0"/>
            </w:pPr>
            <w:r>
              <w:rPr>
                <w:sz w:val="18"/>
              </w:rPr>
              <w:t>This work: discharge</w:t>
            </w:r>
          </w:p>
        </w:tc>
        <w:tc>
          <w:tcPr>
            <w:tcW w:type="dxa" w:w="1969"/>
            <w:vAlign w:val="center"/>
          </w:tcPr>
          <w:p>
            <w:pPr>
              <w:spacing w:after="0"/>
            </w:pPr>
            <w:r>
              <w:rPr>
                <w:sz w:val="18"/>
              </w:rPr>
              <w:t>Same models and load</w:t>
            </w:r>
          </w:p>
        </w:tc>
        <w:tc>
          <w:tcPr>
            <w:tcW w:type="dxa" w:w="1969"/>
            <w:vAlign w:val="center"/>
          </w:tcPr>
          <w:p>
            <w:pPr>
              <w:spacing w:after="0"/>
            </w:pPr>
            <w:r>
              <w:rPr>
                <w:sz w:val="18"/>
              </w:rPr>
              <w:t>15.447 ps mean</w:t>
            </w:r>
          </w:p>
        </w:tc>
        <w:tc>
          <w:tcPr>
            <w:tcW w:type="dxa" w:w="1969"/>
            <w:vAlign w:val="center"/>
          </w:tcPr>
          <w:p>
            <w:pPr>
              <w:spacing w:after="0"/>
            </w:pPr>
            <w:r>
              <w:rPr>
                <w:sz w:val="18"/>
              </w:rPr>
              <w:t>16.097 µW VDD</w:t>
            </w:r>
          </w:p>
        </w:tc>
        <w:tc>
          <w:tcPr>
            <w:tcW w:type="dxa" w:w="1969"/>
            <w:vAlign w:val="center"/>
          </w:tcPr>
          <w:p>
            <w:pPr>
              <w:spacing w:after="0"/>
            </w:pPr>
            <w:r>
              <w:rPr>
                <w:sz w:val="18"/>
              </w:rPr>
              <w:t>0.993524 V combined-mode swing</w:t>
            </w:r>
          </w:p>
        </w:tc>
      </w:tr>
    </w:tbl>
    <w:p>
      <w:pPr>
        <w:spacing w:after="0"/>
      </w:pPr>
    </w:p>
    <w:p>
      <w:r>
        <w:t>The measured discharge delay of 15.447 ps is 7.56% below the paper’s 16.71 ps value. The measured output swing of 0.993524 V is 1.38% above the paper’s 0.98 V result. These two values fall within a 10% numerical comparison window. The power values are reported as measured, without a pass/fail threshold. Because the paper used a different load and models, this is a simple project comparison rather than proof of identical performance.</w:t>
      </w:r>
    </w:p>
    <w:p>
      <w:pPr>
        <w:keepNext/>
        <w:spacing w:before="100" w:after="40"/>
        <w:jc w:val="center"/>
      </w:pPr>
      <w:r>
        <w:drawing>
          <wp:inline xmlns:a="http://schemas.openxmlformats.org/drawingml/2006/main" xmlns:pic="http://schemas.openxmlformats.org/drawingml/2006/picture">
            <wp:extent cx="6126480" cy="3803968"/>
            <wp:docPr id="9" name="Picture 9"/>
            <wp:cNvGraphicFramePr>
              <a:graphicFrameLocks noChangeAspect="1"/>
            </wp:cNvGraphicFramePr>
            <a:graphic>
              <a:graphicData uri="http://schemas.openxmlformats.org/drawingml/2006/picture">
                <pic:pic>
                  <pic:nvPicPr>
                    <pic:cNvPr id="0" name="09_delay_paper_difference.png"/>
                    <pic:cNvPicPr/>
                  </pic:nvPicPr>
                  <pic:blipFill>
                    <a:blip r:embed="rId24"/>
                    <a:stretch>
                      <a:fillRect/>
                    </a:stretch>
                  </pic:blipFill>
                  <pic:spPr>
                    <a:xfrm>
                      <a:off x="0" y="0"/>
                      <a:ext cx="6126480" cy="3803968"/>
                    </a:xfrm>
                    <a:prstGeom prst="rect"/>
                  </pic:spPr>
                </pic:pic>
              </a:graphicData>
            </a:graphic>
          </wp:inline>
        </w:drawing>
      </w:r>
    </w:p>
    <w:p>
      <w:pPr>
        <w:keepLines/>
        <w:spacing w:after="160"/>
        <w:jc w:val="center"/>
      </w:pPr>
      <w:r>
        <w:rPr>
          <w:i/>
          <w:sz w:val="18"/>
        </w:rPr>
        <w:t>Fig. 7. ADE Calculator shows the 7.56% delay difference from the paper.</w:t>
      </w:r>
    </w:p>
    <w:p>
      <w:pPr>
        <w:pStyle w:val="Heading1"/>
      </w:pPr>
      <w:r>
        <w:t>8. Conclusion and Future Scope</w:t>
      </w:r>
    </w:p>
    <w:p>
      <w:r>
        <w:t>We successfully completed the schematic, testbench, and transient simulation of the MCML charge pump. The output rises during charging and falls during discharging as expected. The measured delay and output voltage swing are within a 10% numerical comparison window of the values reported in [1]. This meets the main aims of our fifth-semester VLSI System Design mini project. A useful next step would be to repeat the comparison with the same load and process models as the paper and then explore a physical layout.</w:t>
      </w:r>
    </w:p>
    <w:p>
      <w:pPr>
        <w:pStyle w:val="Heading1"/>
      </w:pPr>
      <w:r>
        <w:t>References</w:t>
      </w:r>
    </w:p>
    <w:p>
      <w:r>
        <w:t>[1] M. Sivasakthi and P. Radhika, “A high-speed MCML charge pump design at 10 GHz frequency in 45 nm CMOS technology for PLL application,” Analog Integrated Circuits and Signal Processing, vol. 118, pp. 49–66, 2024, doi: 10.1007/s10470-023-02225-0.</w:t>
      </w:r>
    </w:p>
    <w:p>
      <w:pPr>
        <w:pStyle w:val="Heading1"/>
      </w:pPr>
      <w:r>
        <w:t>Appendix A. Additional Simulation Screenshots</w:t>
      </w:r>
    </w:p>
    <w:p>
      <w:r>
        <w:t>The following screenshots show the remaining Calculator evaluations for individual edges, averages, power, and final output levels. Figures 1–7 in the report show the schematic, setup, waveforms, delay comparison, and output swing.</w:t>
      </w:r>
    </w:p>
    <w:p>
      <w:pPr>
        <w:keepNext/>
        <w:spacing w:before="100" w:after="40"/>
        <w:jc w:val="center"/>
      </w:pPr>
      <w:r>
        <w:drawing>
          <wp:inline xmlns:a="http://schemas.openxmlformats.org/drawingml/2006/main" xmlns:pic="http://schemas.openxmlformats.org/drawingml/2006/picture">
            <wp:extent cx="6126480" cy="3803968"/>
            <wp:docPr id="10" name="Picture 10"/>
            <wp:cNvGraphicFramePr>
              <a:graphicFrameLocks noChangeAspect="1"/>
            </wp:cNvGraphicFramePr>
            <a:graphic>
              <a:graphicData uri="http://schemas.openxmlformats.org/drawingml/2006/picture">
                <pic:pic>
                  <pic:nvPicPr>
                    <pic:cNvPr id="0" name="05_delay_charge_edge.png"/>
                    <pic:cNvPicPr/>
                  </pic:nvPicPr>
                  <pic:blipFill>
                    <a:blip r:embed="rId25"/>
                    <a:stretch>
                      <a:fillRect/>
                    </a:stretch>
                  </pic:blipFill>
                  <pic:spPr>
                    <a:xfrm>
                      <a:off x="0" y="0"/>
                      <a:ext cx="6126480" cy="3803968"/>
                    </a:xfrm>
                    <a:prstGeom prst="rect"/>
                  </pic:spPr>
                </pic:pic>
              </a:graphicData>
            </a:graphic>
          </wp:inline>
        </w:drawing>
      </w:r>
    </w:p>
    <w:p>
      <w:pPr>
        <w:keepLines/>
        <w:spacing w:after="160"/>
        <w:jc w:val="center"/>
      </w:pPr>
      <w:r>
        <w:rPr>
          <w:i/>
          <w:sz w:val="18"/>
        </w:rPr>
        <w:t>Fig. A1. Charging delay for one UP pulse: 13.827 ps.</w:t>
      </w:r>
    </w:p>
    <w:p>
      <w:pPr>
        <w:keepNext/>
        <w:spacing w:before="100" w:after="40"/>
        <w:jc w:val="center"/>
      </w:pPr>
      <w:r>
        <w:drawing>
          <wp:inline xmlns:a="http://schemas.openxmlformats.org/drawingml/2006/main" xmlns:pic="http://schemas.openxmlformats.org/drawingml/2006/picture">
            <wp:extent cx="6126480" cy="3803968"/>
            <wp:docPr id="11" name="Picture 11"/>
            <wp:cNvGraphicFramePr>
              <a:graphicFrameLocks noChangeAspect="1"/>
            </wp:cNvGraphicFramePr>
            <a:graphic>
              <a:graphicData uri="http://schemas.openxmlformats.org/drawingml/2006/picture">
                <pic:pic>
                  <pic:nvPicPr>
                    <pic:cNvPr id="0" name="06_delay_charge_mean.png"/>
                    <pic:cNvPicPr/>
                  </pic:nvPicPr>
                  <pic:blipFill>
                    <a:blip r:embed="rId26"/>
                    <a:stretch>
                      <a:fillRect/>
                    </a:stretch>
                  </pic:blipFill>
                  <pic:spPr>
                    <a:xfrm>
                      <a:off x="0" y="0"/>
                      <a:ext cx="6126480" cy="3803968"/>
                    </a:xfrm>
                    <a:prstGeom prst="rect"/>
                  </pic:spPr>
                </pic:pic>
              </a:graphicData>
            </a:graphic>
          </wp:inline>
        </w:drawing>
      </w:r>
    </w:p>
    <w:p>
      <w:pPr>
        <w:keepLines/>
        <w:spacing w:after="160"/>
        <w:jc w:val="center"/>
      </w:pPr>
      <w:r>
        <w:rPr>
          <w:i/>
          <w:sz w:val="18"/>
        </w:rPr>
        <w:t>Fig. A2. Average charging delay over ten pulses: 13.811 ps.</w:t>
      </w:r>
    </w:p>
    <w:p>
      <w:pPr>
        <w:keepNext/>
        <w:spacing w:before="100" w:after="40"/>
        <w:jc w:val="center"/>
      </w:pPr>
      <w:r>
        <w:drawing>
          <wp:inline xmlns:a="http://schemas.openxmlformats.org/drawingml/2006/main" xmlns:pic="http://schemas.openxmlformats.org/drawingml/2006/picture">
            <wp:extent cx="6126480" cy="3803968"/>
            <wp:docPr id="12" name="Picture 12"/>
            <wp:cNvGraphicFramePr>
              <a:graphicFrameLocks noChangeAspect="1"/>
            </wp:cNvGraphicFramePr>
            <a:graphic>
              <a:graphicData uri="http://schemas.openxmlformats.org/drawingml/2006/picture">
                <pic:pic>
                  <pic:nvPicPr>
                    <pic:cNvPr id="0" name="07_delay_discharge_edge.png"/>
                    <pic:cNvPicPr/>
                  </pic:nvPicPr>
                  <pic:blipFill>
                    <a:blip r:embed="rId27"/>
                    <a:stretch>
                      <a:fillRect/>
                    </a:stretch>
                  </pic:blipFill>
                  <pic:spPr>
                    <a:xfrm>
                      <a:off x="0" y="0"/>
                      <a:ext cx="6126480" cy="3803968"/>
                    </a:xfrm>
                    <a:prstGeom prst="rect"/>
                  </pic:spPr>
                </pic:pic>
              </a:graphicData>
            </a:graphic>
          </wp:inline>
        </w:drawing>
      </w:r>
    </w:p>
    <w:p>
      <w:pPr>
        <w:keepLines/>
        <w:spacing w:after="160"/>
        <w:jc w:val="center"/>
      </w:pPr>
      <w:r>
        <w:rPr>
          <w:i/>
          <w:sz w:val="18"/>
        </w:rPr>
        <w:t>Fig. A3. Discharging delay for one DN pulse: 15.460 ps.</w:t>
      </w:r>
    </w:p>
    <w:p>
      <w:pPr>
        <w:keepNext/>
        <w:spacing w:before="100" w:after="40"/>
        <w:jc w:val="center"/>
      </w:pPr>
      <w:r>
        <w:drawing>
          <wp:inline xmlns:a="http://schemas.openxmlformats.org/drawingml/2006/main" xmlns:pic="http://schemas.openxmlformats.org/drawingml/2006/picture">
            <wp:extent cx="6126480" cy="3803968"/>
            <wp:docPr id="13" name="Picture 13"/>
            <wp:cNvGraphicFramePr>
              <a:graphicFrameLocks noChangeAspect="1"/>
            </wp:cNvGraphicFramePr>
            <a:graphic>
              <a:graphicData uri="http://schemas.openxmlformats.org/drawingml/2006/picture">
                <pic:pic>
                  <pic:nvPicPr>
                    <pic:cNvPr id="0" name="10_power_charge.png"/>
                    <pic:cNvPicPr/>
                  </pic:nvPicPr>
                  <pic:blipFill>
                    <a:blip r:embed="rId28"/>
                    <a:stretch>
                      <a:fillRect/>
                    </a:stretch>
                  </pic:blipFill>
                  <pic:spPr>
                    <a:xfrm>
                      <a:off x="0" y="0"/>
                      <a:ext cx="6126480" cy="3803968"/>
                    </a:xfrm>
                    <a:prstGeom prst="rect"/>
                  </pic:spPr>
                </pic:pic>
              </a:graphicData>
            </a:graphic>
          </wp:inline>
        </w:drawing>
      </w:r>
    </w:p>
    <w:p>
      <w:pPr>
        <w:keepLines/>
        <w:spacing w:after="160"/>
        <w:jc w:val="center"/>
      </w:pPr>
      <w:r>
        <w:rPr>
          <w:i/>
          <w:sz w:val="18"/>
        </w:rPr>
        <w:t>Fig. A4. Average VDD power during charging: 22.528 µW.</w:t>
      </w:r>
    </w:p>
    <w:p>
      <w:pPr>
        <w:keepNext/>
        <w:spacing w:before="100" w:after="40"/>
        <w:jc w:val="center"/>
      </w:pPr>
      <w:r>
        <w:drawing>
          <wp:inline xmlns:a="http://schemas.openxmlformats.org/drawingml/2006/main" xmlns:pic="http://schemas.openxmlformats.org/drawingml/2006/picture">
            <wp:extent cx="6126480" cy="3803968"/>
            <wp:docPr id="14" name="Picture 14"/>
            <wp:cNvGraphicFramePr>
              <a:graphicFrameLocks noChangeAspect="1"/>
            </wp:cNvGraphicFramePr>
            <a:graphic>
              <a:graphicData uri="http://schemas.openxmlformats.org/drawingml/2006/picture">
                <pic:pic>
                  <pic:nvPicPr>
                    <pic:cNvPr id="0" name="11_power_discharge.png"/>
                    <pic:cNvPicPr/>
                  </pic:nvPicPr>
                  <pic:blipFill>
                    <a:blip r:embed="rId29"/>
                    <a:stretch>
                      <a:fillRect/>
                    </a:stretch>
                  </pic:blipFill>
                  <pic:spPr>
                    <a:xfrm>
                      <a:off x="0" y="0"/>
                      <a:ext cx="6126480" cy="3803968"/>
                    </a:xfrm>
                    <a:prstGeom prst="rect"/>
                  </pic:spPr>
                </pic:pic>
              </a:graphicData>
            </a:graphic>
          </wp:inline>
        </w:drawing>
      </w:r>
    </w:p>
    <w:p>
      <w:pPr>
        <w:keepLines/>
        <w:spacing w:after="160"/>
        <w:jc w:val="center"/>
      </w:pPr>
      <w:r>
        <w:rPr>
          <w:i/>
          <w:sz w:val="18"/>
        </w:rPr>
        <w:t>Fig. A5. Average VDD power during discharging: 16.097 µW.</w:t>
      </w:r>
    </w:p>
    <w:p>
      <w:pPr>
        <w:keepNext/>
        <w:spacing w:before="100" w:after="40"/>
        <w:jc w:val="center"/>
      </w:pPr>
      <w:r>
        <w:drawing>
          <wp:inline xmlns:a="http://schemas.openxmlformats.org/drawingml/2006/main" xmlns:pic="http://schemas.openxmlformats.org/drawingml/2006/picture">
            <wp:extent cx="6126480" cy="3803968"/>
            <wp:docPr id="15" name="Picture 15"/>
            <wp:cNvGraphicFramePr>
              <a:graphicFrameLocks noChangeAspect="1"/>
            </wp:cNvGraphicFramePr>
            <a:graphic>
              <a:graphicData uri="http://schemas.openxmlformats.org/drawingml/2006/picture">
                <pic:pic>
                  <pic:nvPicPr>
                    <pic:cNvPr id="0" name="12_swing_charge_high.png"/>
                    <pic:cNvPicPr/>
                  </pic:nvPicPr>
                  <pic:blipFill>
                    <a:blip r:embed="rId30"/>
                    <a:stretch>
                      <a:fillRect/>
                    </a:stretch>
                  </pic:blipFill>
                  <pic:spPr>
                    <a:xfrm>
                      <a:off x="0" y="0"/>
                      <a:ext cx="6126480" cy="3803968"/>
                    </a:xfrm>
                    <a:prstGeom prst="rect"/>
                  </pic:spPr>
                </pic:pic>
              </a:graphicData>
            </a:graphic>
          </wp:inline>
        </w:drawing>
      </w:r>
    </w:p>
    <w:p>
      <w:pPr>
        <w:keepLines/>
        <w:spacing w:after="160"/>
        <w:jc w:val="center"/>
      </w:pPr>
      <w:r>
        <w:rPr>
          <w:i/>
          <w:sz w:val="18"/>
        </w:rPr>
        <w:t>Fig. A6. Settled Vop high level from the charging run.</w:t>
      </w:r>
    </w:p>
    <w:p>
      <w:pPr>
        <w:keepNext/>
        <w:spacing w:before="100" w:after="40"/>
        <w:jc w:val="center"/>
      </w:pPr>
      <w:r>
        <w:drawing>
          <wp:inline xmlns:a="http://schemas.openxmlformats.org/drawingml/2006/main" xmlns:pic="http://schemas.openxmlformats.org/drawingml/2006/picture">
            <wp:extent cx="6126480" cy="3803968"/>
            <wp:docPr id="16" name="Picture 16"/>
            <wp:cNvGraphicFramePr>
              <a:graphicFrameLocks noChangeAspect="1"/>
            </wp:cNvGraphicFramePr>
            <a:graphic>
              <a:graphicData uri="http://schemas.openxmlformats.org/drawingml/2006/picture">
                <pic:pic>
                  <pic:nvPicPr>
                    <pic:cNvPr id="0" name="13_swing_discharge_low.png"/>
                    <pic:cNvPicPr/>
                  </pic:nvPicPr>
                  <pic:blipFill>
                    <a:blip r:embed="rId31"/>
                    <a:stretch>
                      <a:fillRect/>
                    </a:stretch>
                  </pic:blipFill>
                  <pic:spPr>
                    <a:xfrm>
                      <a:off x="0" y="0"/>
                      <a:ext cx="6126480" cy="3803968"/>
                    </a:xfrm>
                    <a:prstGeom prst="rect"/>
                  </pic:spPr>
                </pic:pic>
              </a:graphicData>
            </a:graphic>
          </wp:inline>
        </w:drawing>
      </w:r>
    </w:p>
    <w:p>
      <w:pPr>
        <w:keepLines/>
        <w:spacing w:after="160"/>
        <w:jc w:val="center"/>
      </w:pPr>
      <w:r>
        <w:rPr>
          <w:i/>
          <w:sz w:val="18"/>
        </w:rPr>
        <w:t>Fig. A7. Settled Vop low level from the discharging run.</w:t>
      </w:r>
    </w:p>
    <w:sectPr w:rsidR="000C1F9B" w:rsidSect="00D33761">
      <w:footerReference w:type="default" r:id="rId12"/>
      <w:headerReference w:type="default" r:id="rId15"/>
      <w:pgSz w:w="11920" w:h="16850"/>
      <w:pgMar w:top="979" w:right="1037" w:bottom="893" w:left="1037"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F8074" w14:textId="77777777" w:rsidR="00306217" w:rsidRDefault="00306217" w:rsidP="00694A84">
      <w:r>
        <w:separator/>
      </w:r>
    </w:p>
  </w:endnote>
  <w:endnote w:type="continuationSeparator" w:id="0">
    <w:p w14:paraId="4D503FCB" w14:textId="77777777" w:rsidR="00306217" w:rsidRDefault="00306217" w:rsidP="00694A84">
      <w:r>
        <w:continuationSeparator/>
      </w:r>
    </w:p>
  </w:endnote>
  <w:endnote w:type="continuationNotice" w:id="1">
    <w:p w14:paraId="5D104C76" w14:textId="77777777" w:rsidR="00306217" w:rsidRDefault="003062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7327020"/>
      <w:docPartObj>
        <w:docPartGallery w:val="Page Numbers (Bottom of Page)"/>
        <w:docPartUnique/>
      </w:docPartObj>
    </w:sdtPr>
    <w:sdtEndPr>
      <w:rPr>
        <w:noProof/>
      </w:rPr>
    </w:sdtEndPr>
    <w:sdtContent>
      <w:p w14:paraId="49600B75" w14:textId="77777777" w:rsidR="00694A84" w:rsidRDefault="00694A84">
        <w:pPr>
          <w:pStyle w:val="Footer"/>
          <w:jc w:val="center"/>
        </w:pPr>
        <w:r>
          <w:fldChar w:fldCharType="begin"/>
        </w:r>
        <w:r>
          <w:instrText xml:space="preserve"> PAGE   \* MERGEFORMAT </w:instrText>
        </w:r>
        <w:r>
          <w:fldChar w:fldCharType="separate"/>
        </w:r>
        <w:r w:rsidR="004E229A">
          <w:rPr>
            <w:noProof/>
          </w:rPr>
          <w:t>1</w:t>
        </w:r>
        <w:r>
          <w:rPr>
            <w:noProof/>
          </w:rPr>
          <w:fldChar w:fldCharType="end"/>
        </w:r>
      </w:p>
    </w:sdtContent>
  </w:sdt>
  <w:p w14:paraId="04A46924" w14:textId="77777777" w:rsidR="00694A84" w:rsidRDefault="00694A84">
    <w:pPr>
      <w:pStyle w:val="Footer"/>
      <w:jc w:val="center"/>
    </w:pPr>
    <w:r>
      <w:rPr>
        <w:sz w:val="16"/>
      </w:rPr>
      <w:t xml:space="preserve">MCML charge pump  •  October 2026  •  Page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F3BD1" w14:textId="77777777" w:rsidR="00306217" w:rsidRDefault="00306217" w:rsidP="00694A84">
      <w:r>
        <w:separator/>
      </w:r>
    </w:p>
  </w:footnote>
  <w:footnote w:type="continuationSeparator" w:id="0">
    <w:p w14:paraId="7A0BB0E5" w14:textId="77777777" w:rsidR="00306217" w:rsidRDefault="00306217" w:rsidP="00694A84">
      <w:r>
        <w:continuationSeparator/>
      </w:r>
    </w:p>
  </w:footnote>
  <w:footnote w:type="continuationNotice" w:id="1">
    <w:p w14:paraId="45C2ED9D" w14:textId="77777777" w:rsidR="00306217" w:rsidRDefault="00306217"/>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06D7D"/>
        <w:sz w:val="16"/>
      </w:rPr>
      <w:t>BECE303L_VLSI System Design  |  Mini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8D9E"/>
    <w:multiLevelType w:val="hybridMultilevel"/>
    <w:tmpl w:val="D210648C"/>
    <w:lvl w:ilvl="0" w:tplc="B8E8483A">
      <w:start w:val="1"/>
      <w:numFmt w:val="bullet"/>
      <w:lvlText w:val=""/>
      <w:lvlJc w:val="left"/>
      <w:pPr>
        <w:ind w:left="720" w:hanging="360"/>
      </w:pPr>
      <w:rPr>
        <w:rFonts w:ascii="Symbol" w:hAnsi="Symbol" w:hint="default"/>
      </w:rPr>
    </w:lvl>
    <w:lvl w:ilvl="1" w:tplc="6AC46EAE">
      <w:start w:val="1"/>
      <w:numFmt w:val="bullet"/>
      <w:lvlText w:val="o"/>
      <w:lvlJc w:val="left"/>
      <w:pPr>
        <w:ind w:left="1440" w:hanging="360"/>
      </w:pPr>
      <w:rPr>
        <w:rFonts w:ascii="Courier New" w:hAnsi="Courier New" w:hint="default"/>
      </w:rPr>
    </w:lvl>
    <w:lvl w:ilvl="2" w:tplc="9B9C460C">
      <w:start w:val="1"/>
      <w:numFmt w:val="bullet"/>
      <w:lvlText w:val=""/>
      <w:lvlJc w:val="left"/>
      <w:pPr>
        <w:ind w:left="2160" w:hanging="360"/>
      </w:pPr>
      <w:rPr>
        <w:rFonts w:ascii="Wingdings" w:hAnsi="Wingdings" w:hint="default"/>
      </w:rPr>
    </w:lvl>
    <w:lvl w:ilvl="3" w:tplc="902C8E06">
      <w:start w:val="1"/>
      <w:numFmt w:val="bullet"/>
      <w:lvlText w:val=""/>
      <w:lvlJc w:val="left"/>
      <w:pPr>
        <w:ind w:left="2880" w:hanging="360"/>
      </w:pPr>
      <w:rPr>
        <w:rFonts w:ascii="Symbol" w:hAnsi="Symbol" w:hint="default"/>
      </w:rPr>
    </w:lvl>
    <w:lvl w:ilvl="4" w:tplc="F7AE89DA">
      <w:start w:val="1"/>
      <w:numFmt w:val="bullet"/>
      <w:lvlText w:val="o"/>
      <w:lvlJc w:val="left"/>
      <w:pPr>
        <w:ind w:left="3600" w:hanging="360"/>
      </w:pPr>
      <w:rPr>
        <w:rFonts w:ascii="Courier New" w:hAnsi="Courier New" w:hint="default"/>
      </w:rPr>
    </w:lvl>
    <w:lvl w:ilvl="5" w:tplc="F0822E7C">
      <w:start w:val="1"/>
      <w:numFmt w:val="bullet"/>
      <w:lvlText w:val=""/>
      <w:lvlJc w:val="left"/>
      <w:pPr>
        <w:ind w:left="4320" w:hanging="360"/>
      </w:pPr>
      <w:rPr>
        <w:rFonts w:ascii="Wingdings" w:hAnsi="Wingdings" w:hint="default"/>
      </w:rPr>
    </w:lvl>
    <w:lvl w:ilvl="6" w:tplc="B2D4007E">
      <w:start w:val="1"/>
      <w:numFmt w:val="bullet"/>
      <w:lvlText w:val=""/>
      <w:lvlJc w:val="left"/>
      <w:pPr>
        <w:ind w:left="5040" w:hanging="360"/>
      </w:pPr>
      <w:rPr>
        <w:rFonts w:ascii="Symbol" w:hAnsi="Symbol" w:hint="default"/>
      </w:rPr>
    </w:lvl>
    <w:lvl w:ilvl="7" w:tplc="3AA2C5C6">
      <w:start w:val="1"/>
      <w:numFmt w:val="bullet"/>
      <w:lvlText w:val="o"/>
      <w:lvlJc w:val="left"/>
      <w:pPr>
        <w:ind w:left="5760" w:hanging="360"/>
      </w:pPr>
      <w:rPr>
        <w:rFonts w:ascii="Courier New" w:hAnsi="Courier New" w:hint="default"/>
      </w:rPr>
    </w:lvl>
    <w:lvl w:ilvl="8" w:tplc="F3A22AE6">
      <w:start w:val="1"/>
      <w:numFmt w:val="bullet"/>
      <w:lvlText w:val=""/>
      <w:lvlJc w:val="left"/>
      <w:pPr>
        <w:ind w:left="6480" w:hanging="360"/>
      </w:pPr>
      <w:rPr>
        <w:rFonts w:ascii="Wingdings" w:hAnsi="Wingdings" w:hint="default"/>
      </w:rPr>
    </w:lvl>
  </w:abstractNum>
  <w:abstractNum w:abstractNumId="1" w15:restartNumberingAfterBreak="0">
    <w:nsid w:val="137345C7"/>
    <w:multiLevelType w:val="hybridMultilevel"/>
    <w:tmpl w:val="9102792C"/>
    <w:lvl w:ilvl="0" w:tplc="A61AD0CA">
      <w:start w:val="5"/>
      <w:numFmt w:val="decimal"/>
      <w:lvlText w:val="%1."/>
      <w:lvlJc w:val="left"/>
      <w:pPr>
        <w:ind w:left="820" w:hanging="360"/>
      </w:pPr>
      <w:rPr>
        <w:rFonts w:hint="default"/>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2" w15:restartNumberingAfterBreak="0">
    <w:nsid w:val="1AE209B3"/>
    <w:multiLevelType w:val="hybridMultilevel"/>
    <w:tmpl w:val="8996B19E"/>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3" w15:restartNumberingAfterBreak="0">
    <w:nsid w:val="1BF1CBA8"/>
    <w:multiLevelType w:val="hybridMultilevel"/>
    <w:tmpl w:val="FF84FCAE"/>
    <w:lvl w:ilvl="0" w:tplc="46883302">
      <w:start w:val="1"/>
      <w:numFmt w:val="decimal"/>
      <w:lvlText w:val="%1."/>
      <w:lvlJc w:val="left"/>
      <w:pPr>
        <w:ind w:left="720" w:hanging="360"/>
      </w:pPr>
    </w:lvl>
    <w:lvl w:ilvl="1" w:tplc="53E4C176">
      <w:start w:val="1"/>
      <w:numFmt w:val="lowerLetter"/>
      <w:lvlText w:val="%2."/>
      <w:lvlJc w:val="left"/>
      <w:pPr>
        <w:ind w:left="1440" w:hanging="360"/>
      </w:pPr>
    </w:lvl>
    <w:lvl w:ilvl="2" w:tplc="75A80CDC">
      <w:start w:val="1"/>
      <w:numFmt w:val="lowerRoman"/>
      <w:lvlText w:val="%3."/>
      <w:lvlJc w:val="right"/>
      <w:pPr>
        <w:ind w:left="2160" w:hanging="180"/>
      </w:pPr>
    </w:lvl>
    <w:lvl w:ilvl="3" w:tplc="B2E81D8E">
      <w:start w:val="1"/>
      <w:numFmt w:val="decimal"/>
      <w:lvlText w:val="%4."/>
      <w:lvlJc w:val="left"/>
      <w:pPr>
        <w:ind w:left="2880" w:hanging="360"/>
      </w:pPr>
    </w:lvl>
    <w:lvl w:ilvl="4" w:tplc="4A147050">
      <w:start w:val="1"/>
      <w:numFmt w:val="lowerLetter"/>
      <w:lvlText w:val="%5."/>
      <w:lvlJc w:val="left"/>
      <w:pPr>
        <w:ind w:left="3600" w:hanging="360"/>
      </w:pPr>
    </w:lvl>
    <w:lvl w:ilvl="5" w:tplc="33D24F9C">
      <w:start w:val="1"/>
      <w:numFmt w:val="lowerRoman"/>
      <w:lvlText w:val="%6."/>
      <w:lvlJc w:val="right"/>
      <w:pPr>
        <w:ind w:left="4320" w:hanging="180"/>
      </w:pPr>
    </w:lvl>
    <w:lvl w:ilvl="6" w:tplc="6E02CDC8">
      <w:start w:val="1"/>
      <w:numFmt w:val="decimal"/>
      <w:lvlText w:val="%7."/>
      <w:lvlJc w:val="left"/>
      <w:pPr>
        <w:ind w:left="5040" w:hanging="360"/>
      </w:pPr>
    </w:lvl>
    <w:lvl w:ilvl="7" w:tplc="ED9AB504">
      <w:start w:val="1"/>
      <w:numFmt w:val="lowerLetter"/>
      <w:lvlText w:val="%8."/>
      <w:lvlJc w:val="left"/>
      <w:pPr>
        <w:ind w:left="5760" w:hanging="360"/>
      </w:pPr>
    </w:lvl>
    <w:lvl w:ilvl="8" w:tplc="034E0818">
      <w:start w:val="1"/>
      <w:numFmt w:val="lowerRoman"/>
      <w:lvlText w:val="%9."/>
      <w:lvlJc w:val="right"/>
      <w:pPr>
        <w:ind w:left="6480" w:hanging="180"/>
      </w:pPr>
    </w:lvl>
  </w:abstractNum>
  <w:abstractNum w:abstractNumId="4" w15:restartNumberingAfterBreak="0">
    <w:nsid w:val="24D3B72F"/>
    <w:multiLevelType w:val="hybridMultilevel"/>
    <w:tmpl w:val="70BEA0E8"/>
    <w:lvl w:ilvl="0" w:tplc="6AA232E4">
      <w:start w:val="1"/>
      <w:numFmt w:val="bullet"/>
      <w:lvlText w:val=""/>
      <w:lvlJc w:val="left"/>
      <w:pPr>
        <w:ind w:left="720" w:hanging="360"/>
      </w:pPr>
      <w:rPr>
        <w:rFonts w:ascii="Symbol" w:hAnsi="Symbol" w:hint="default"/>
      </w:rPr>
    </w:lvl>
    <w:lvl w:ilvl="1" w:tplc="A9466644">
      <w:start w:val="1"/>
      <w:numFmt w:val="bullet"/>
      <w:lvlText w:val="o"/>
      <w:lvlJc w:val="left"/>
      <w:pPr>
        <w:ind w:left="1440" w:hanging="360"/>
      </w:pPr>
      <w:rPr>
        <w:rFonts w:ascii="Courier New" w:hAnsi="Courier New" w:hint="default"/>
      </w:rPr>
    </w:lvl>
    <w:lvl w:ilvl="2" w:tplc="D2A6B4AA">
      <w:start w:val="1"/>
      <w:numFmt w:val="bullet"/>
      <w:lvlText w:val=""/>
      <w:lvlJc w:val="left"/>
      <w:pPr>
        <w:ind w:left="2160" w:hanging="360"/>
      </w:pPr>
      <w:rPr>
        <w:rFonts w:ascii="Wingdings" w:hAnsi="Wingdings" w:hint="default"/>
      </w:rPr>
    </w:lvl>
    <w:lvl w:ilvl="3" w:tplc="5BB6E270">
      <w:start w:val="1"/>
      <w:numFmt w:val="bullet"/>
      <w:lvlText w:val=""/>
      <w:lvlJc w:val="left"/>
      <w:pPr>
        <w:ind w:left="2880" w:hanging="360"/>
      </w:pPr>
      <w:rPr>
        <w:rFonts w:ascii="Symbol" w:hAnsi="Symbol" w:hint="default"/>
      </w:rPr>
    </w:lvl>
    <w:lvl w:ilvl="4" w:tplc="7C4614EE">
      <w:start w:val="1"/>
      <w:numFmt w:val="bullet"/>
      <w:lvlText w:val="o"/>
      <w:lvlJc w:val="left"/>
      <w:pPr>
        <w:ind w:left="3600" w:hanging="360"/>
      </w:pPr>
      <w:rPr>
        <w:rFonts w:ascii="Courier New" w:hAnsi="Courier New" w:hint="default"/>
      </w:rPr>
    </w:lvl>
    <w:lvl w:ilvl="5" w:tplc="3728700C">
      <w:start w:val="1"/>
      <w:numFmt w:val="bullet"/>
      <w:lvlText w:val=""/>
      <w:lvlJc w:val="left"/>
      <w:pPr>
        <w:ind w:left="4320" w:hanging="360"/>
      </w:pPr>
      <w:rPr>
        <w:rFonts w:ascii="Wingdings" w:hAnsi="Wingdings" w:hint="default"/>
      </w:rPr>
    </w:lvl>
    <w:lvl w:ilvl="6" w:tplc="1F64A200">
      <w:start w:val="1"/>
      <w:numFmt w:val="bullet"/>
      <w:lvlText w:val=""/>
      <w:lvlJc w:val="left"/>
      <w:pPr>
        <w:ind w:left="5040" w:hanging="360"/>
      </w:pPr>
      <w:rPr>
        <w:rFonts w:ascii="Symbol" w:hAnsi="Symbol" w:hint="default"/>
      </w:rPr>
    </w:lvl>
    <w:lvl w:ilvl="7" w:tplc="57A2740A">
      <w:start w:val="1"/>
      <w:numFmt w:val="bullet"/>
      <w:lvlText w:val="o"/>
      <w:lvlJc w:val="left"/>
      <w:pPr>
        <w:ind w:left="5760" w:hanging="360"/>
      </w:pPr>
      <w:rPr>
        <w:rFonts w:ascii="Courier New" w:hAnsi="Courier New" w:hint="default"/>
      </w:rPr>
    </w:lvl>
    <w:lvl w:ilvl="8" w:tplc="22DCA78E">
      <w:start w:val="1"/>
      <w:numFmt w:val="bullet"/>
      <w:lvlText w:val=""/>
      <w:lvlJc w:val="left"/>
      <w:pPr>
        <w:ind w:left="6480" w:hanging="360"/>
      </w:pPr>
      <w:rPr>
        <w:rFonts w:ascii="Wingdings" w:hAnsi="Wingdings" w:hint="default"/>
      </w:rPr>
    </w:lvl>
  </w:abstractNum>
  <w:abstractNum w:abstractNumId="5" w15:restartNumberingAfterBreak="0">
    <w:nsid w:val="27121D60"/>
    <w:multiLevelType w:val="hybridMultilevel"/>
    <w:tmpl w:val="2278A4B6"/>
    <w:lvl w:ilvl="0" w:tplc="0409000B">
      <w:start w:val="1"/>
      <w:numFmt w:val="bullet"/>
      <w:lvlText w:val=""/>
      <w:lvlJc w:val="left"/>
      <w:pPr>
        <w:ind w:left="926" w:hanging="360"/>
      </w:pPr>
      <w:rPr>
        <w:rFonts w:ascii="Wingdings" w:hAnsi="Wingdings"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6" w15:restartNumberingAfterBreak="0">
    <w:nsid w:val="34293BAF"/>
    <w:multiLevelType w:val="hybridMultilevel"/>
    <w:tmpl w:val="E6CEECF0"/>
    <w:lvl w:ilvl="0" w:tplc="0409000B">
      <w:start w:val="1"/>
      <w:numFmt w:val="bullet"/>
      <w:lvlText w:val=""/>
      <w:lvlJc w:val="left"/>
      <w:pPr>
        <w:ind w:left="926" w:hanging="360"/>
      </w:pPr>
      <w:rPr>
        <w:rFonts w:ascii="Wingdings" w:hAnsi="Wingdings"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7" w15:restartNumberingAfterBreak="0">
    <w:nsid w:val="39AA7060"/>
    <w:multiLevelType w:val="hybridMultilevel"/>
    <w:tmpl w:val="BD061F6E"/>
    <w:lvl w:ilvl="0" w:tplc="0409000B">
      <w:start w:val="1"/>
      <w:numFmt w:val="bullet"/>
      <w:lvlText w:val=""/>
      <w:lvlJc w:val="left"/>
      <w:pPr>
        <w:ind w:left="926" w:hanging="360"/>
      </w:pPr>
      <w:rPr>
        <w:rFonts w:ascii="Wingdings" w:hAnsi="Wingdings"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8" w15:restartNumberingAfterBreak="0">
    <w:nsid w:val="3EE4B305"/>
    <w:multiLevelType w:val="hybridMultilevel"/>
    <w:tmpl w:val="F176D986"/>
    <w:lvl w:ilvl="0" w:tplc="8FE238F8">
      <w:start w:val="1"/>
      <w:numFmt w:val="decimal"/>
      <w:lvlText w:val="%1."/>
      <w:lvlJc w:val="left"/>
      <w:pPr>
        <w:ind w:left="720" w:hanging="360"/>
      </w:pPr>
    </w:lvl>
    <w:lvl w:ilvl="1" w:tplc="ECE01072">
      <w:start w:val="1"/>
      <w:numFmt w:val="lowerLetter"/>
      <w:lvlText w:val="%2."/>
      <w:lvlJc w:val="left"/>
      <w:pPr>
        <w:ind w:left="1440" w:hanging="360"/>
      </w:pPr>
    </w:lvl>
    <w:lvl w:ilvl="2" w:tplc="4FB4FBC6">
      <w:start w:val="1"/>
      <w:numFmt w:val="lowerRoman"/>
      <w:lvlText w:val="%3."/>
      <w:lvlJc w:val="right"/>
      <w:pPr>
        <w:ind w:left="2160" w:hanging="180"/>
      </w:pPr>
    </w:lvl>
    <w:lvl w:ilvl="3" w:tplc="8F402632">
      <w:start w:val="1"/>
      <w:numFmt w:val="decimal"/>
      <w:lvlText w:val="%4."/>
      <w:lvlJc w:val="left"/>
      <w:pPr>
        <w:ind w:left="2880" w:hanging="360"/>
      </w:pPr>
    </w:lvl>
    <w:lvl w:ilvl="4" w:tplc="D9DA0832">
      <w:start w:val="1"/>
      <w:numFmt w:val="lowerLetter"/>
      <w:lvlText w:val="%5."/>
      <w:lvlJc w:val="left"/>
      <w:pPr>
        <w:ind w:left="3600" w:hanging="360"/>
      </w:pPr>
    </w:lvl>
    <w:lvl w:ilvl="5" w:tplc="D6B8CF00">
      <w:start w:val="1"/>
      <w:numFmt w:val="lowerRoman"/>
      <w:lvlText w:val="%6."/>
      <w:lvlJc w:val="right"/>
      <w:pPr>
        <w:ind w:left="4320" w:hanging="180"/>
      </w:pPr>
    </w:lvl>
    <w:lvl w:ilvl="6" w:tplc="A9EC2C9C">
      <w:start w:val="1"/>
      <w:numFmt w:val="decimal"/>
      <w:lvlText w:val="%7."/>
      <w:lvlJc w:val="left"/>
      <w:pPr>
        <w:ind w:left="5040" w:hanging="360"/>
      </w:pPr>
    </w:lvl>
    <w:lvl w:ilvl="7" w:tplc="AEC65FE8">
      <w:start w:val="1"/>
      <w:numFmt w:val="lowerLetter"/>
      <w:lvlText w:val="%8."/>
      <w:lvlJc w:val="left"/>
      <w:pPr>
        <w:ind w:left="5760" w:hanging="360"/>
      </w:pPr>
    </w:lvl>
    <w:lvl w:ilvl="8" w:tplc="DF7AD7AA">
      <w:start w:val="1"/>
      <w:numFmt w:val="lowerRoman"/>
      <w:lvlText w:val="%9."/>
      <w:lvlJc w:val="right"/>
      <w:pPr>
        <w:ind w:left="6480" w:hanging="180"/>
      </w:pPr>
    </w:lvl>
  </w:abstractNum>
  <w:abstractNum w:abstractNumId="9" w15:restartNumberingAfterBreak="0">
    <w:nsid w:val="41F6776E"/>
    <w:multiLevelType w:val="hybridMultilevel"/>
    <w:tmpl w:val="A47A8A52"/>
    <w:lvl w:ilvl="0" w:tplc="F446EA02">
      <w:start w:val="1"/>
      <w:numFmt w:val="bullet"/>
      <w:lvlText w:val=""/>
      <w:lvlJc w:val="left"/>
      <w:pPr>
        <w:ind w:left="720" w:hanging="360"/>
      </w:pPr>
      <w:rPr>
        <w:rFonts w:ascii="Symbol" w:hAnsi="Symbol" w:hint="default"/>
      </w:rPr>
    </w:lvl>
    <w:lvl w:ilvl="1" w:tplc="EA403A66">
      <w:start w:val="1"/>
      <w:numFmt w:val="bullet"/>
      <w:lvlText w:val="o"/>
      <w:lvlJc w:val="left"/>
      <w:pPr>
        <w:ind w:left="1440" w:hanging="360"/>
      </w:pPr>
      <w:rPr>
        <w:rFonts w:ascii="Courier New" w:hAnsi="Courier New" w:hint="default"/>
      </w:rPr>
    </w:lvl>
    <w:lvl w:ilvl="2" w:tplc="BDF25DEA">
      <w:start w:val="1"/>
      <w:numFmt w:val="bullet"/>
      <w:lvlText w:val=""/>
      <w:lvlJc w:val="left"/>
      <w:pPr>
        <w:ind w:left="2160" w:hanging="360"/>
      </w:pPr>
      <w:rPr>
        <w:rFonts w:ascii="Wingdings" w:hAnsi="Wingdings" w:hint="default"/>
      </w:rPr>
    </w:lvl>
    <w:lvl w:ilvl="3" w:tplc="2F506D12">
      <w:start w:val="1"/>
      <w:numFmt w:val="bullet"/>
      <w:lvlText w:val=""/>
      <w:lvlJc w:val="left"/>
      <w:pPr>
        <w:ind w:left="2880" w:hanging="360"/>
      </w:pPr>
      <w:rPr>
        <w:rFonts w:ascii="Symbol" w:hAnsi="Symbol" w:hint="default"/>
      </w:rPr>
    </w:lvl>
    <w:lvl w:ilvl="4" w:tplc="D6F8604C">
      <w:start w:val="1"/>
      <w:numFmt w:val="bullet"/>
      <w:lvlText w:val="o"/>
      <w:lvlJc w:val="left"/>
      <w:pPr>
        <w:ind w:left="3600" w:hanging="360"/>
      </w:pPr>
      <w:rPr>
        <w:rFonts w:ascii="Courier New" w:hAnsi="Courier New" w:hint="default"/>
      </w:rPr>
    </w:lvl>
    <w:lvl w:ilvl="5" w:tplc="A448FE68">
      <w:start w:val="1"/>
      <w:numFmt w:val="bullet"/>
      <w:lvlText w:val=""/>
      <w:lvlJc w:val="left"/>
      <w:pPr>
        <w:ind w:left="4320" w:hanging="360"/>
      </w:pPr>
      <w:rPr>
        <w:rFonts w:ascii="Wingdings" w:hAnsi="Wingdings" w:hint="default"/>
      </w:rPr>
    </w:lvl>
    <w:lvl w:ilvl="6" w:tplc="9A289F5E">
      <w:start w:val="1"/>
      <w:numFmt w:val="bullet"/>
      <w:lvlText w:val=""/>
      <w:lvlJc w:val="left"/>
      <w:pPr>
        <w:ind w:left="5040" w:hanging="360"/>
      </w:pPr>
      <w:rPr>
        <w:rFonts w:ascii="Symbol" w:hAnsi="Symbol" w:hint="default"/>
      </w:rPr>
    </w:lvl>
    <w:lvl w:ilvl="7" w:tplc="8AD2210C">
      <w:start w:val="1"/>
      <w:numFmt w:val="bullet"/>
      <w:lvlText w:val="o"/>
      <w:lvlJc w:val="left"/>
      <w:pPr>
        <w:ind w:left="5760" w:hanging="360"/>
      </w:pPr>
      <w:rPr>
        <w:rFonts w:ascii="Courier New" w:hAnsi="Courier New" w:hint="default"/>
      </w:rPr>
    </w:lvl>
    <w:lvl w:ilvl="8" w:tplc="544439C8">
      <w:start w:val="1"/>
      <w:numFmt w:val="bullet"/>
      <w:lvlText w:val=""/>
      <w:lvlJc w:val="left"/>
      <w:pPr>
        <w:ind w:left="6480" w:hanging="360"/>
      </w:pPr>
      <w:rPr>
        <w:rFonts w:ascii="Wingdings" w:hAnsi="Wingdings" w:hint="default"/>
      </w:rPr>
    </w:lvl>
  </w:abstractNum>
  <w:abstractNum w:abstractNumId="10" w15:restartNumberingAfterBreak="0">
    <w:nsid w:val="44FE7A18"/>
    <w:multiLevelType w:val="hybridMultilevel"/>
    <w:tmpl w:val="59B26676"/>
    <w:lvl w:ilvl="0" w:tplc="59101A82">
      <w:start w:val="1"/>
      <w:numFmt w:val="decimal"/>
      <w:lvlText w:val="%1."/>
      <w:lvlJc w:val="left"/>
      <w:pPr>
        <w:ind w:left="926" w:hanging="360"/>
      </w:pPr>
      <w:rPr>
        <w:rFonts w:ascii="Times New Roman" w:eastAsia="Times New Roman" w:hAnsi="Times New Roman" w:cs="Times New Roman" w:hint="default"/>
        <w:spacing w:val="0"/>
        <w:w w:val="100"/>
        <w:sz w:val="28"/>
        <w:szCs w:val="28"/>
        <w:lang w:val="en-US" w:eastAsia="en-US" w:bidi="ar-SA"/>
      </w:rPr>
    </w:lvl>
    <w:lvl w:ilvl="1" w:tplc="49548FAC">
      <w:numFmt w:val="bullet"/>
      <w:lvlText w:val="•"/>
      <w:lvlJc w:val="left"/>
      <w:pPr>
        <w:ind w:left="1660" w:hanging="360"/>
      </w:pPr>
      <w:rPr>
        <w:rFonts w:ascii="Arial MT" w:eastAsia="Arial MT" w:hAnsi="Arial MT" w:cs="Arial MT" w:hint="default"/>
        <w:w w:val="100"/>
        <w:sz w:val="28"/>
        <w:szCs w:val="28"/>
        <w:lang w:val="en-US" w:eastAsia="en-US" w:bidi="ar-SA"/>
      </w:rPr>
    </w:lvl>
    <w:lvl w:ilvl="2" w:tplc="30D82FD6">
      <w:numFmt w:val="bullet"/>
      <w:lvlText w:val="•"/>
      <w:lvlJc w:val="left"/>
      <w:pPr>
        <w:ind w:left="2547" w:hanging="360"/>
      </w:pPr>
      <w:rPr>
        <w:rFonts w:hint="default"/>
        <w:lang w:val="en-US" w:eastAsia="en-US" w:bidi="ar-SA"/>
      </w:rPr>
    </w:lvl>
    <w:lvl w:ilvl="3" w:tplc="A986FEDA">
      <w:numFmt w:val="bullet"/>
      <w:lvlText w:val="•"/>
      <w:lvlJc w:val="left"/>
      <w:pPr>
        <w:ind w:left="3435" w:hanging="360"/>
      </w:pPr>
      <w:rPr>
        <w:rFonts w:hint="default"/>
        <w:lang w:val="en-US" w:eastAsia="en-US" w:bidi="ar-SA"/>
      </w:rPr>
    </w:lvl>
    <w:lvl w:ilvl="4" w:tplc="AA7E426E">
      <w:numFmt w:val="bullet"/>
      <w:lvlText w:val="•"/>
      <w:lvlJc w:val="left"/>
      <w:pPr>
        <w:ind w:left="4323" w:hanging="360"/>
      </w:pPr>
      <w:rPr>
        <w:rFonts w:hint="default"/>
        <w:lang w:val="en-US" w:eastAsia="en-US" w:bidi="ar-SA"/>
      </w:rPr>
    </w:lvl>
    <w:lvl w:ilvl="5" w:tplc="E55EE326">
      <w:numFmt w:val="bullet"/>
      <w:lvlText w:val="•"/>
      <w:lvlJc w:val="left"/>
      <w:pPr>
        <w:ind w:left="5211" w:hanging="360"/>
      </w:pPr>
      <w:rPr>
        <w:rFonts w:hint="default"/>
        <w:lang w:val="en-US" w:eastAsia="en-US" w:bidi="ar-SA"/>
      </w:rPr>
    </w:lvl>
    <w:lvl w:ilvl="6" w:tplc="E6AE2FAE">
      <w:numFmt w:val="bullet"/>
      <w:lvlText w:val="•"/>
      <w:lvlJc w:val="left"/>
      <w:pPr>
        <w:ind w:left="6099" w:hanging="360"/>
      </w:pPr>
      <w:rPr>
        <w:rFonts w:hint="default"/>
        <w:lang w:val="en-US" w:eastAsia="en-US" w:bidi="ar-SA"/>
      </w:rPr>
    </w:lvl>
    <w:lvl w:ilvl="7" w:tplc="99E208B8">
      <w:numFmt w:val="bullet"/>
      <w:lvlText w:val="•"/>
      <w:lvlJc w:val="left"/>
      <w:pPr>
        <w:ind w:left="6987" w:hanging="360"/>
      </w:pPr>
      <w:rPr>
        <w:rFonts w:hint="default"/>
        <w:lang w:val="en-US" w:eastAsia="en-US" w:bidi="ar-SA"/>
      </w:rPr>
    </w:lvl>
    <w:lvl w:ilvl="8" w:tplc="BC129224">
      <w:numFmt w:val="bullet"/>
      <w:lvlText w:val="•"/>
      <w:lvlJc w:val="left"/>
      <w:pPr>
        <w:ind w:left="7875" w:hanging="360"/>
      </w:pPr>
      <w:rPr>
        <w:rFonts w:hint="default"/>
        <w:lang w:val="en-US" w:eastAsia="en-US" w:bidi="ar-SA"/>
      </w:rPr>
    </w:lvl>
  </w:abstractNum>
  <w:abstractNum w:abstractNumId="11" w15:restartNumberingAfterBreak="0">
    <w:nsid w:val="5A41C307"/>
    <w:multiLevelType w:val="hybridMultilevel"/>
    <w:tmpl w:val="E8BE6E96"/>
    <w:lvl w:ilvl="0" w:tplc="0CF2E88C">
      <w:start w:val="1"/>
      <w:numFmt w:val="bullet"/>
      <w:lvlText w:val=""/>
      <w:lvlJc w:val="left"/>
      <w:pPr>
        <w:ind w:left="720" w:hanging="360"/>
      </w:pPr>
      <w:rPr>
        <w:rFonts w:ascii="Symbol" w:hAnsi="Symbol" w:hint="default"/>
      </w:rPr>
    </w:lvl>
    <w:lvl w:ilvl="1" w:tplc="C066B796">
      <w:start w:val="1"/>
      <w:numFmt w:val="bullet"/>
      <w:lvlText w:val="o"/>
      <w:lvlJc w:val="left"/>
      <w:pPr>
        <w:ind w:left="1440" w:hanging="360"/>
      </w:pPr>
      <w:rPr>
        <w:rFonts w:ascii="Courier New" w:hAnsi="Courier New" w:hint="default"/>
      </w:rPr>
    </w:lvl>
    <w:lvl w:ilvl="2" w:tplc="84088F4C">
      <w:start w:val="1"/>
      <w:numFmt w:val="bullet"/>
      <w:lvlText w:val=""/>
      <w:lvlJc w:val="left"/>
      <w:pPr>
        <w:ind w:left="2160" w:hanging="360"/>
      </w:pPr>
      <w:rPr>
        <w:rFonts w:ascii="Wingdings" w:hAnsi="Wingdings" w:hint="default"/>
      </w:rPr>
    </w:lvl>
    <w:lvl w:ilvl="3" w:tplc="E04A201E">
      <w:start w:val="1"/>
      <w:numFmt w:val="bullet"/>
      <w:lvlText w:val=""/>
      <w:lvlJc w:val="left"/>
      <w:pPr>
        <w:ind w:left="2880" w:hanging="360"/>
      </w:pPr>
      <w:rPr>
        <w:rFonts w:ascii="Symbol" w:hAnsi="Symbol" w:hint="default"/>
      </w:rPr>
    </w:lvl>
    <w:lvl w:ilvl="4" w:tplc="9DE0088A">
      <w:start w:val="1"/>
      <w:numFmt w:val="bullet"/>
      <w:lvlText w:val="o"/>
      <w:lvlJc w:val="left"/>
      <w:pPr>
        <w:ind w:left="3600" w:hanging="360"/>
      </w:pPr>
      <w:rPr>
        <w:rFonts w:ascii="Courier New" w:hAnsi="Courier New" w:hint="default"/>
      </w:rPr>
    </w:lvl>
    <w:lvl w:ilvl="5" w:tplc="F3EA1C3E">
      <w:start w:val="1"/>
      <w:numFmt w:val="bullet"/>
      <w:lvlText w:val=""/>
      <w:lvlJc w:val="left"/>
      <w:pPr>
        <w:ind w:left="4320" w:hanging="360"/>
      </w:pPr>
      <w:rPr>
        <w:rFonts w:ascii="Wingdings" w:hAnsi="Wingdings" w:hint="default"/>
      </w:rPr>
    </w:lvl>
    <w:lvl w:ilvl="6" w:tplc="FFE0D0B8">
      <w:start w:val="1"/>
      <w:numFmt w:val="bullet"/>
      <w:lvlText w:val=""/>
      <w:lvlJc w:val="left"/>
      <w:pPr>
        <w:ind w:left="5040" w:hanging="360"/>
      </w:pPr>
      <w:rPr>
        <w:rFonts w:ascii="Symbol" w:hAnsi="Symbol" w:hint="default"/>
      </w:rPr>
    </w:lvl>
    <w:lvl w:ilvl="7" w:tplc="D4344758">
      <w:start w:val="1"/>
      <w:numFmt w:val="bullet"/>
      <w:lvlText w:val="o"/>
      <w:lvlJc w:val="left"/>
      <w:pPr>
        <w:ind w:left="5760" w:hanging="360"/>
      </w:pPr>
      <w:rPr>
        <w:rFonts w:ascii="Courier New" w:hAnsi="Courier New" w:hint="default"/>
      </w:rPr>
    </w:lvl>
    <w:lvl w:ilvl="8" w:tplc="84D8F9B8">
      <w:start w:val="1"/>
      <w:numFmt w:val="bullet"/>
      <w:lvlText w:val=""/>
      <w:lvlJc w:val="left"/>
      <w:pPr>
        <w:ind w:left="6480" w:hanging="360"/>
      </w:pPr>
      <w:rPr>
        <w:rFonts w:ascii="Wingdings" w:hAnsi="Wingdings" w:hint="default"/>
      </w:rPr>
    </w:lvl>
  </w:abstractNum>
  <w:abstractNum w:abstractNumId="12" w15:restartNumberingAfterBreak="0">
    <w:nsid w:val="5A692D93"/>
    <w:multiLevelType w:val="hybridMultilevel"/>
    <w:tmpl w:val="00809D12"/>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5C590025"/>
    <w:multiLevelType w:val="hybridMultilevel"/>
    <w:tmpl w:val="4B8CADCC"/>
    <w:lvl w:ilvl="0" w:tplc="540CE164">
      <w:start w:val="4"/>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14" w15:restartNumberingAfterBreak="0">
    <w:nsid w:val="61D164CD"/>
    <w:multiLevelType w:val="hybridMultilevel"/>
    <w:tmpl w:val="D89674A6"/>
    <w:lvl w:ilvl="0" w:tplc="159C4E94">
      <w:start w:val="4"/>
      <w:numFmt w:val="decimal"/>
      <w:lvlText w:val="%1."/>
      <w:lvlJc w:val="left"/>
      <w:pPr>
        <w:ind w:left="820" w:hanging="360"/>
      </w:pPr>
      <w:rPr>
        <w:rFonts w:hint="default"/>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15" w15:restartNumberingAfterBreak="0">
    <w:nsid w:val="653E4A43"/>
    <w:multiLevelType w:val="hybridMultilevel"/>
    <w:tmpl w:val="AC5CF936"/>
    <w:lvl w:ilvl="0" w:tplc="28304342">
      <w:start w:val="1"/>
      <w:numFmt w:val="decimal"/>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6" w15:restartNumberingAfterBreak="0">
    <w:nsid w:val="6D9B3460"/>
    <w:multiLevelType w:val="hybridMultilevel"/>
    <w:tmpl w:val="67102E8C"/>
    <w:lvl w:ilvl="0" w:tplc="FFFFFFFF">
      <w:start w:val="1"/>
      <w:numFmt w:val="decimal"/>
      <w:lvlText w:val="%1."/>
      <w:lvlJc w:val="left"/>
      <w:pPr>
        <w:ind w:left="820" w:hanging="360"/>
      </w:p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17" w15:restartNumberingAfterBreak="0">
    <w:nsid w:val="75E40C94"/>
    <w:multiLevelType w:val="hybridMultilevel"/>
    <w:tmpl w:val="67102E8C"/>
    <w:lvl w:ilvl="0" w:tplc="4009000F">
      <w:start w:val="1"/>
      <w:numFmt w:val="decimal"/>
      <w:lvlText w:val="%1."/>
      <w:lvlJc w:val="left"/>
      <w:pPr>
        <w:ind w:left="820" w:hanging="360"/>
      </w:p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18" w15:restartNumberingAfterBreak="0">
    <w:nsid w:val="7D5C7702"/>
    <w:multiLevelType w:val="hybridMultilevel"/>
    <w:tmpl w:val="BC8CB9B8"/>
    <w:lvl w:ilvl="0" w:tplc="56206160">
      <w:start w:val="1"/>
      <w:numFmt w:val="bullet"/>
      <w:lvlText w:val=""/>
      <w:lvlJc w:val="left"/>
      <w:pPr>
        <w:ind w:left="720" w:hanging="360"/>
      </w:pPr>
      <w:rPr>
        <w:rFonts w:ascii="Symbol" w:hAnsi="Symbol" w:hint="default"/>
      </w:rPr>
    </w:lvl>
    <w:lvl w:ilvl="1" w:tplc="FFEA5802">
      <w:start w:val="1"/>
      <w:numFmt w:val="bullet"/>
      <w:lvlText w:val="o"/>
      <w:lvlJc w:val="left"/>
      <w:pPr>
        <w:ind w:left="1440" w:hanging="360"/>
      </w:pPr>
      <w:rPr>
        <w:rFonts w:ascii="Courier New" w:hAnsi="Courier New" w:hint="default"/>
      </w:rPr>
    </w:lvl>
    <w:lvl w:ilvl="2" w:tplc="B4302190">
      <w:start w:val="1"/>
      <w:numFmt w:val="bullet"/>
      <w:lvlText w:val=""/>
      <w:lvlJc w:val="left"/>
      <w:pPr>
        <w:ind w:left="2160" w:hanging="360"/>
      </w:pPr>
      <w:rPr>
        <w:rFonts w:ascii="Wingdings" w:hAnsi="Wingdings" w:hint="default"/>
      </w:rPr>
    </w:lvl>
    <w:lvl w:ilvl="3" w:tplc="0E005CA2">
      <w:start w:val="1"/>
      <w:numFmt w:val="bullet"/>
      <w:lvlText w:val=""/>
      <w:lvlJc w:val="left"/>
      <w:pPr>
        <w:ind w:left="2880" w:hanging="360"/>
      </w:pPr>
      <w:rPr>
        <w:rFonts w:ascii="Symbol" w:hAnsi="Symbol" w:hint="default"/>
      </w:rPr>
    </w:lvl>
    <w:lvl w:ilvl="4" w:tplc="3F20FF0E">
      <w:start w:val="1"/>
      <w:numFmt w:val="bullet"/>
      <w:lvlText w:val="o"/>
      <w:lvlJc w:val="left"/>
      <w:pPr>
        <w:ind w:left="3600" w:hanging="360"/>
      </w:pPr>
      <w:rPr>
        <w:rFonts w:ascii="Courier New" w:hAnsi="Courier New" w:hint="default"/>
      </w:rPr>
    </w:lvl>
    <w:lvl w:ilvl="5" w:tplc="55527FDA">
      <w:start w:val="1"/>
      <w:numFmt w:val="bullet"/>
      <w:lvlText w:val=""/>
      <w:lvlJc w:val="left"/>
      <w:pPr>
        <w:ind w:left="4320" w:hanging="360"/>
      </w:pPr>
      <w:rPr>
        <w:rFonts w:ascii="Wingdings" w:hAnsi="Wingdings" w:hint="default"/>
      </w:rPr>
    </w:lvl>
    <w:lvl w:ilvl="6" w:tplc="2B9444D2">
      <w:start w:val="1"/>
      <w:numFmt w:val="bullet"/>
      <w:lvlText w:val=""/>
      <w:lvlJc w:val="left"/>
      <w:pPr>
        <w:ind w:left="5040" w:hanging="360"/>
      </w:pPr>
      <w:rPr>
        <w:rFonts w:ascii="Symbol" w:hAnsi="Symbol" w:hint="default"/>
      </w:rPr>
    </w:lvl>
    <w:lvl w:ilvl="7" w:tplc="98104B0C">
      <w:start w:val="1"/>
      <w:numFmt w:val="bullet"/>
      <w:lvlText w:val="o"/>
      <w:lvlJc w:val="left"/>
      <w:pPr>
        <w:ind w:left="5760" w:hanging="360"/>
      </w:pPr>
      <w:rPr>
        <w:rFonts w:ascii="Courier New" w:hAnsi="Courier New" w:hint="default"/>
      </w:rPr>
    </w:lvl>
    <w:lvl w:ilvl="8" w:tplc="8BE09222">
      <w:start w:val="1"/>
      <w:numFmt w:val="bullet"/>
      <w:lvlText w:val=""/>
      <w:lvlJc w:val="left"/>
      <w:pPr>
        <w:ind w:left="6480" w:hanging="360"/>
      </w:pPr>
      <w:rPr>
        <w:rFonts w:ascii="Wingdings" w:hAnsi="Wingdings" w:hint="default"/>
      </w:rPr>
    </w:lvl>
  </w:abstractNum>
  <w:num w:numId="1" w16cid:durableId="960918779">
    <w:abstractNumId w:val="10"/>
  </w:num>
  <w:num w:numId="2" w16cid:durableId="1105464346">
    <w:abstractNumId w:val="5"/>
  </w:num>
  <w:num w:numId="3" w16cid:durableId="890849668">
    <w:abstractNumId w:val="6"/>
  </w:num>
  <w:num w:numId="4" w16cid:durableId="1936864567">
    <w:abstractNumId w:val="7"/>
  </w:num>
  <w:num w:numId="5" w16cid:durableId="124737830">
    <w:abstractNumId w:val="12"/>
  </w:num>
  <w:num w:numId="6" w16cid:durableId="271398782">
    <w:abstractNumId w:val="17"/>
  </w:num>
  <w:num w:numId="7" w16cid:durableId="14382429">
    <w:abstractNumId w:val="2"/>
  </w:num>
  <w:num w:numId="8" w16cid:durableId="966545373">
    <w:abstractNumId w:val="1"/>
  </w:num>
  <w:num w:numId="9" w16cid:durableId="1679381963">
    <w:abstractNumId w:val="16"/>
  </w:num>
  <w:num w:numId="10" w16cid:durableId="834958619">
    <w:abstractNumId w:val="14"/>
  </w:num>
  <w:num w:numId="11" w16cid:durableId="2130657817">
    <w:abstractNumId w:val="13"/>
  </w:num>
  <w:num w:numId="12" w16cid:durableId="465196672">
    <w:abstractNumId w:val="4"/>
  </w:num>
  <w:num w:numId="13" w16cid:durableId="309135724">
    <w:abstractNumId w:val="3"/>
  </w:num>
  <w:num w:numId="14" w16cid:durableId="202448795">
    <w:abstractNumId w:val="11"/>
  </w:num>
  <w:num w:numId="15" w16cid:durableId="585921315">
    <w:abstractNumId w:val="0"/>
  </w:num>
  <w:num w:numId="16" w16cid:durableId="81529432">
    <w:abstractNumId w:val="18"/>
  </w:num>
  <w:num w:numId="17" w16cid:durableId="211234966">
    <w:abstractNumId w:val="9"/>
  </w:num>
  <w:num w:numId="18" w16cid:durableId="1411075838">
    <w:abstractNumId w:val="8"/>
  </w:num>
  <w:num w:numId="19" w16cid:durableId="4379866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E2M7A0tTA3MTYwMDFX0lEKTi0uzszPAykwrgUAobPTKCwAAAA="/>
  </w:docVars>
  <w:rsids>
    <w:rsidRoot w:val="002325D6"/>
    <w:rsid w:val="000050C6"/>
    <w:rsid w:val="00005DE0"/>
    <w:rsid w:val="00020967"/>
    <w:rsid w:val="00023D9B"/>
    <w:rsid w:val="000266D1"/>
    <w:rsid w:val="00032C12"/>
    <w:rsid w:val="0003483C"/>
    <w:rsid w:val="00044023"/>
    <w:rsid w:val="00072446"/>
    <w:rsid w:val="00076572"/>
    <w:rsid w:val="00080E46"/>
    <w:rsid w:val="00083028"/>
    <w:rsid w:val="000C1F9B"/>
    <w:rsid w:val="000D17C6"/>
    <w:rsid w:val="000F3A51"/>
    <w:rsid w:val="000F3FAF"/>
    <w:rsid w:val="001102BC"/>
    <w:rsid w:val="00165AD1"/>
    <w:rsid w:val="0016612D"/>
    <w:rsid w:val="00181641"/>
    <w:rsid w:val="00182596"/>
    <w:rsid w:val="00187B6A"/>
    <w:rsid w:val="001A1704"/>
    <w:rsid w:val="001A5C6A"/>
    <w:rsid w:val="001B06EB"/>
    <w:rsid w:val="001C39C7"/>
    <w:rsid w:val="001C7350"/>
    <w:rsid w:val="001E1273"/>
    <w:rsid w:val="001E5F3F"/>
    <w:rsid w:val="001F6B5F"/>
    <w:rsid w:val="001F6FBA"/>
    <w:rsid w:val="001F799A"/>
    <w:rsid w:val="00201CAA"/>
    <w:rsid w:val="00202044"/>
    <w:rsid w:val="002121EA"/>
    <w:rsid w:val="002325D6"/>
    <w:rsid w:val="00246F33"/>
    <w:rsid w:val="0025530C"/>
    <w:rsid w:val="00280D21"/>
    <w:rsid w:val="00291663"/>
    <w:rsid w:val="00295705"/>
    <w:rsid w:val="002A40F2"/>
    <w:rsid w:val="002A4BAB"/>
    <w:rsid w:val="002C0329"/>
    <w:rsid w:val="002C460D"/>
    <w:rsid w:val="0030409C"/>
    <w:rsid w:val="00306217"/>
    <w:rsid w:val="0031750B"/>
    <w:rsid w:val="003310C6"/>
    <w:rsid w:val="00346E75"/>
    <w:rsid w:val="00350B89"/>
    <w:rsid w:val="00357011"/>
    <w:rsid w:val="0036646E"/>
    <w:rsid w:val="00366A94"/>
    <w:rsid w:val="00387272"/>
    <w:rsid w:val="00387E27"/>
    <w:rsid w:val="00390D2E"/>
    <w:rsid w:val="003A1EEA"/>
    <w:rsid w:val="003B1399"/>
    <w:rsid w:val="003B65F7"/>
    <w:rsid w:val="003C5569"/>
    <w:rsid w:val="003D46F0"/>
    <w:rsid w:val="003E52D1"/>
    <w:rsid w:val="003E5A3E"/>
    <w:rsid w:val="003F1224"/>
    <w:rsid w:val="003F3F51"/>
    <w:rsid w:val="00401925"/>
    <w:rsid w:val="0040378F"/>
    <w:rsid w:val="00417DF2"/>
    <w:rsid w:val="00434F02"/>
    <w:rsid w:val="00442224"/>
    <w:rsid w:val="004436D1"/>
    <w:rsid w:val="00447B76"/>
    <w:rsid w:val="00455584"/>
    <w:rsid w:val="004558CE"/>
    <w:rsid w:val="004761A9"/>
    <w:rsid w:val="00495756"/>
    <w:rsid w:val="004B49DB"/>
    <w:rsid w:val="004C56F3"/>
    <w:rsid w:val="004C585F"/>
    <w:rsid w:val="004C77CC"/>
    <w:rsid w:val="004D2D06"/>
    <w:rsid w:val="004D618B"/>
    <w:rsid w:val="004E1C56"/>
    <w:rsid w:val="004E229A"/>
    <w:rsid w:val="004E425F"/>
    <w:rsid w:val="00503420"/>
    <w:rsid w:val="00516663"/>
    <w:rsid w:val="00516D0B"/>
    <w:rsid w:val="005351D2"/>
    <w:rsid w:val="005450CF"/>
    <w:rsid w:val="00547B29"/>
    <w:rsid w:val="0055563B"/>
    <w:rsid w:val="00560304"/>
    <w:rsid w:val="005843AD"/>
    <w:rsid w:val="00584A26"/>
    <w:rsid w:val="00585EAA"/>
    <w:rsid w:val="005A6641"/>
    <w:rsid w:val="005A7B38"/>
    <w:rsid w:val="00600ECD"/>
    <w:rsid w:val="00614FEA"/>
    <w:rsid w:val="00633CA5"/>
    <w:rsid w:val="0065747D"/>
    <w:rsid w:val="00660D90"/>
    <w:rsid w:val="00680168"/>
    <w:rsid w:val="00690F37"/>
    <w:rsid w:val="00694A84"/>
    <w:rsid w:val="00695BB1"/>
    <w:rsid w:val="006A05A8"/>
    <w:rsid w:val="006A71E2"/>
    <w:rsid w:val="006B2193"/>
    <w:rsid w:val="006C12F1"/>
    <w:rsid w:val="006C51D2"/>
    <w:rsid w:val="006E0580"/>
    <w:rsid w:val="00705380"/>
    <w:rsid w:val="00706A77"/>
    <w:rsid w:val="00711999"/>
    <w:rsid w:val="00722B71"/>
    <w:rsid w:val="00722CBE"/>
    <w:rsid w:val="00730215"/>
    <w:rsid w:val="00734A8A"/>
    <w:rsid w:val="0074169B"/>
    <w:rsid w:val="00741E78"/>
    <w:rsid w:val="00744B40"/>
    <w:rsid w:val="00762956"/>
    <w:rsid w:val="00774684"/>
    <w:rsid w:val="0077598E"/>
    <w:rsid w:val="00781E9B"/>
    <w:rsid w:val="00794898"/>
    <w:rsid w:val="00795448"/>
    <w:rsid w:val="007C2B22"/>
    <w:rsid w:val="007C581B"/>
    <w:rsid w:val="007E6AED"/>
    <w:rsid w:val="007F1710"/>
    <w:rsid w:val="00800A61"/>
    <w:rsid w:val="00830CFB"/>
    <w:rsid w:val="00831D45"/>
    <w:rsid w:val="0084340E"/>
    <w:rsid w:val="00865382"/>
    <w:rsid w:val="00866517"/>
    <w:rsid w:val="008874E4"/>
    <w:rsid w:val="0088789E"/>
    <w:rsid w:val="008A3B29"/>
    <w:rsid w:val="008D25D1"/>
    <w:rsid w:val="008D44B1"/>
    <w:rsid w:val="009064FD"/>
    <w:rsid w:val="0091117A"/>
    <w:rsid w:val="0093546B"/>
    <w:rsid w:val="0093767B"/>
    <w:rsid w:val="00955D07"/>
    <w:rsid w:val="009577BC"/>
    <w:rsid w:val="00963224"/>
    <w:rsid w:val="009C0C0E"/>
    <w:rsid w:val="009C1D58"/>
    <w:rsid w:val="009D1668"/>
    <w:rsid w:val="009D6EA2"/>
    <w:rsid w:val="009F6037"/>
    <w:rsid w:val="00A027E3"/>
    <w:rsid w:val="00A201D2"/>
    <w:rsid w:val="00A67B7D"/>
    <w:rsid w:val="00A902C2"/>
    <w:rsid w:val="00AB5E07"/>
    <w:rsid w:val="00AD4B3B"/>
    <w:rsid w:val="00AD57B6"/>
    <w:rsid w:val="00AE03A8"/>
    <w:rsid w:val="00AF1DF1"/>
    <w:rsid w:val="00AF381D"/>
    <w:rsid w:val="00B0129B"/>
    <w:rsid w:val="00B21897"/>
    <w:rsid w:val="00B310AA"/>
    <w:rsid w:val="00B40262"/>
    <w:rsid w:val="00B54AF2"/>
    <w:rsid w:val="00B646C5"/>
    <w:rsid w:val="00B86361"/>
    <w:rsid w:val="00B93236"/>
    <w:rsid w:val="00BB0953"/>
    <w:rsid w:val="00BB10B4"/>
    <w:rsid w:val="00BD0F3F"/>
    <w:rsid w:val="00BD5EDA"/>
    <w:rsid w:val="00BE6F6B"/>
    <w:rsid w:val="00C073BD"/>
    <w:rsid w:val="00C2645C"/>
    <w:rsid w:val="00C31E40"/>
    <w:rsid w:val="00C4243A"/>
    <w:rsid w:val="00C63430"/>
    <w:rsid w:val="00C76F23"/>
    <w:rsid w:val="00C8BFE6"/>
    <w:rsid w:val="00CA33F5"/>
    <w:rsid w:val="00CA7C50"/>
    <w:rsid w:val="00CB5577"/>
    <w:rsid w:val="00CB6429"/>
    <w:rsid w:val="00CC784A"/>
    <w:rsid w:val="00CD356E"/>
    <w:rsid w:val="00CE5E8C"/>
    <w:rsid w:val="00D006A8"/>
    <w:rsid w:val="00D07644"/>
    <w:rsid w:val="00D219FB"/>
    <w:rsid w:val="00D23E20"/>
    <w:rsid w:val="00D33761"/>
    <w:rsid w:val="00D36B7A"/>
    <w:rsid w:val="00D639B2"/>
    <w:rsid w:val="00D70FB3"/>
    <w:rsid w:val="00D750C0"/>
    <w:rsid w:val="00DB21A8"/>
    <w:rsid w:val="00DB5BA8"/>
    <w:rsid w:val="00DE43D3"/>
    <w:rsid w:val="00E17372"/>
    <w:rsid w:val="00E23BF2"/>
    <w:rsid w:val="00E3317E"/>
    <w:rsid w:val="00E67C7E"/>
    <w:rsid w:val="00E81923"/>
    <w:rsid w:val="00E8607A"/>
    <w:rsid w:val="00E87562"/>
    <w:rsid w:val="00EA6EE5"/>
    <w:rsid w:val="00EC2C59"/>
    <w:rsid w:val="00EC2E67"/>
    <w:rsid w:val="00ED553B"/>
    <w:rsid w:val="00EE7278"/>
    <w:rsid w:val="00EF69AB"/>
    <w:rsid w:val="00F117F8"/>
    <w:rsid w:val="00F1375B"/>
    <w:rsid w:val="00F15A7C"/>
    <w:rsid w:val="00F16186"/>
    <w:rsid w:val="00F16298"/>
    <w:rsid w:val="00F176A6"/>
    <w:rsid w:val="00F27791"/>
    <w:rsid w:val="00F339D4"/>
    <w:rsid w:val="00F46E45"/>
    <w:rsid w:val="00F500B0"/>
    <w:rsid w:val="00F531F5"/>
    <w:rsid w:val="00F76595"/>
    <w:rsid w:val="00F8096E"/>
    <w:rsid w:val="00F87AFD"/>
    <w:rsid w:val="00F9002F"/>
    <w:rsid w:val="00FB2BB1"/>
    <w:rsid w:val="00FD72CE"/>
    <w:rsid w:val="00FF6F63"/>
    <w:rsid w:val="0583A9FC"/>
    <w:rsid w:val="0A63BAE4"/>
    <w:rsid w:val="0A9D014A"/>
    <w:rsid w:val="0D56C651"/>
    <w:rsid w:val="0F3E3BEF"/>
    <w:rsid w:val="104B91A9"/>
    <w:rsid w:val="10D7D567"/>
    <w:rsid w:val="10FEA211"/>
    <w:rsid w:val="1178634A"/>
    <w:rsid w:val="11923AEB"/>
    <w:rsid w:val="13C9F389"/>
    <w:rsid w:val="13CAD572"/>
    <w:rsid w:val="160F3706"/>
    <w:rsid w:val="17236A92"/>
    <w:rsid w:val="181DD680"/>
    <w:rsid w:val="183C86FE"/>
    <w:rsid w:val="1A22B7C0"/>
    <w:rsid w:val="1A57D3CD"/>
    <w:rsid w:val="1A93D8A6"/>
    <w:rsid w:val="1B44EF66"/>
    <w:rsid w:val="20360BA4"/>
    <w:rsid w:val="206DB2E6"/>
    <w:rsid w:val="21126046"/>
    <w:rsid w:val="2126E71E"/>
    <w:rsid w:val="2250E7A2"/>
    <w:rsid w:val="228314C1"/>
    <w:rsid w:val="25BE89BC"/>
    <w:rsid w:val="27C626F9"/>
    <w:rsid w:val="282695E9"/>
    <w:rsid w:val="29AD00F0"/>
    <w:rsid w:val="29B2E259"/>
    <w:rsid w:val="2EF2B710"/>
    <w:rsid w:val="2F96F098"/>
    <w:rsid w:val="3035FBEF"/>
    <w:rsid w:val="3084512D"/>
    <w:rsid w:val="33E65521"/>
    <w:rsid w:val="349B071B"/>
    <w:rsid w:val="355817EF"/>
    <w:rsid w:val="368CFE00"/>
    <w:rsid w:val="37535DD6"/>
    <w:rsid w:val="386F8A5A"/>
    <w:rsid w:val="3FA2D633"/>
    <w:rsid w:val="41274F2C"/>
    <w:rsid w:val="41CDB9FB"/>
    <w:rsid w:val="4220110C"/>
    <w:rsid w:val="43402ED5"/>
    <w:rsid w:val="43409BC3"/>
    <w:rsid w:val="437A6099"/>
    <w:rsid w:val="4387524F"/>
    <w:rsid w:val="4990C1C3"/>
    <w:rsid w:val="4E9A65F0"/>
    <w:rsid w:val="52D7BFA1"/>
    <w:rsid w:val="56587029"/>
    <w:rsid w:val="590F017E"/>
    <w:rsid w:val="5949A556"/>
    <w:rsid w:val="5AF073D0"/>
    <w:rsid w:val="5AFB8695"/>
    <w:rsid w:val="5EED4BF2"/>
    <w:rsid w:val="60B5651B"/>
    <w:rsid w:val="60EECC7C"/>
    <w:rsid w:val="610C139E"/>
    <w:rsid w:val="631EBCD0"/>
    <w:rsid w:val="65CAF937"/>
    <w:rsid w:val="65DFE9F1"/>
    <w:rsid w:val="68F1ECAE"/>
    <w:rsid w:val="69C35710"/>
    <w:rsid w:val="6A09DE5A"/>
    <w:rsid w:val="6B71B192"/>
    <w:rsid w:val="6B73EF4F"/>
    <w:rsid w:val="6E7E1037"/>
    <w:rsid w:val="6E7E2DF8"/>
    <w:rsid w:val="6FFB79D8"/>
    <w:rsid w:val="70254DF8"/>
    <w:rsid w:val="76D09053"/>
    <w:rsid w:val="77A0037F"/>
    <w:rsid w:val="77D99457"/>
    <w:rsid w:val="7CA789A6"/>
    <w:rsid w:val="7D66154A"/>
    <w:rsid w:val="7F05D100"/>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6412E16"/>
  <w15:docId w15:val="{75926E42-234D-45DC-BD52-22AC9DB1D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spacing w:after="120" w:line="269" w:lineRule="auto"/>
    </w:pPr>
    <w:rPr>
      <w:rFonts w:ascii="Times New Roman" w:eastAsia="Times New Roman" w:hAnsi="Times New Roman" w:cs="Times New Roman"/>
      <w:color w:val="000000"/>
      <w:sz w:val="22"/>
    </w:rPr>
  </w:style>
  <w:style w:type="paragraph" w:styleId="Heading1">
    <w:name w:val="heading 1"/>
    <w:basedOn w:val="Normal"/>
    <w:uiPriority w:val="1"/>
    <w:qFormat/>
    <w:pPr>
      <w:spacing w:before="240" w:after="100"/>
      <w:ind w:left="108" w:right="98"/>
      <w:jc w:val="center"/>
      <w:outlineLvl w:val="0"/>
    </w:pPr>
    <w:rPr>
      <w:rFonts w:ascii="Times New Roman" w:hAnsi="Times New Roman"/>
      <w:b/>
      <w:bCs/>
      <w:color w:val="132F4C"/>
      <w:sz w:val="28"/>
      <w:szCs w:val="40"/>
    </w:rPr>
  </w:style>
  <w:style w:type="paragraph" w:styleId="Heading2">
    <w:name w:val="heading 2"/>
    <w:basedOn w:val="Normal"/>
    <w:uiPriority w:val="1"/>
    <w:qFormat/>
    <w:pPr>
      <w:spacing w:before="240" w:after="100"/>
      <w:ind w:left="100"/>
      <w:outlineLvl w:val="1"/>
    </w:pPr>
    <w:rPr>
      <w:rFonts w:ascii="Times New Roman" w:hAnsi="Times New Roman"/>
      <w:b/>
      <w:bCs/>
      <w:color w:val="132F4C"/>
      <w:sz w:val="24"/>
      <w:szCs w:val="32"/>
    </w:rPr>
  </w:style>
  <w:style w:type="paragraph" w:styleId="Heading3">
    <w:name w:val="heading 3"/>
    <w:basedOn w:val="Normal"/>
    <w:uiPriority w:val="1"/>
    <w:qFormat/>
    <w:pPr>
      <w:ind w:left="10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
    <w:qFormat/>
    <w:pPr>
      <w:ind w:left="698" w:right="737"/>
      <w:jc w:val="center"/>
    </w:pPr>
    <w:rPr>
      <w:b/>
      <w:bCs/>
      <w:sz w:val="44"/>
      <w:szCs w:val="44"/>
    </w:rPr>
  </w:style>
  <w:style w:type="paragraph" w:styleId="ListParagraph">
    <w:name w:val="List Paragraph"/>
    <w:basedOn w:val="Normal"/>
    <w:uiPriority w:val="1"/>
    <w:qFormat/>
    <w:pPr>
      <w:ind w:left="926" w:hanging="360"/>
    </w:pPr>
  </w:style>
  <w:style w:type="paragraph" w:customStyle="1" w:styleId="TableParagraph">
    <w:name w:val="Table Paragraph"/>
    <w:basedOn w:val="Normal"/>
    <w:uiPriority w:val="1"/>
    <w:qFormat/>
  </w:style>
  <w:style w:type="paragraph" w:customStyle="1" w:styleId="Default">
    <w:name w:val="Default"/>
    <w:rsid w:val="00DB5BA8"/>
    <w:pPr>
      <w:widowControl/>
      <w:adjustRightInd w:val="0"/>
    </w:pPr>
    <w:rPr>
      <w:rFonts w:ascii="Times New Roman" w:hAnsi="Times New Roman" w:cs="Times New Roman"/>
      <w:color w:val="000000"/>
      <w:sz w:val="24"/>
      <w:szCs w:val="24"/>
    </w:rPr>
  </w:style>
  <w:style w:type="table" w:styleId="TableGrid">
    <w:name w:val="Table Grid"/>
    <w:basedOn w:val="TableNormal"/>
    <w:uiPriority w:val="39"/>
    <w:rsid w:val="009632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italic">
    <w:name w:val="html-italic"/>
    <w:basedOn w:val="DefaultParagraphFont"/>
    <w:rsid w:val="00181641"/>
  </w:style>
  <w:style w:type="paragraph" w:styleId="Header">
    <w:name w:val="header"/>
    <w:basedOn w:val="Normal"/>
    <w:link w:val="HeaderChar"/>
    <w:uiPriority w:val="99"/>
    <w:unhideWhenUsed/>
    <w:rsid w:val="00694A84"/>
    <w:pPr>
      <w:tabs>
        <w:tab w:val="center" w:pos="4680"/>
        <w:tab w:val="right" w:pos="9360"/>
      </w:tabs>
    </w:pPr>
  </w:style>
  <w:style w:type="character" w:customStyle="1" w:styleId="HeaderChar">
    <w:name w:val="Header Char"/>
    <w:basedOn w:val="DefaultParagraphFont"/>
    <w:link w:val="Header"/>
    <w:uiPriority w:val="99"/>
    <w:rsid w:val="00694A84"/>
    <w:rPr>
      <w:rFonts w:ascii="Times New Roman" w:eastAsia="Times New Roman" w:hAnsi="Times New Roman" w:cs="Times New Roman"/>
    </w:rPr>
  </w:style>
  <w:style w:type="paragraph" w:styleId="Footer">
    <w:name w:val="footer"/>
    <w:basedOn w:val="Normal"/>
    <w:link w:val="FooterChar"/>
    <w:uiPriority w:val="99"/>
    <w:unhideWhenUsed/>
    <w:rsid w:val="00694A84"/>
    <w:pPr>
      <w:tabs>
        <w:tab w:val="center" w:pos="4680"/>
        <w:tab w:val="right" w:pos="9360"/>
      </w:tabs>
    </w:pPr>
  </w:style>
  <w:style w:type="character" w:customStyle="1" w:styleId="FooterChar">
    <w:name w:val="Footer Char"/>
    <w:basedOn w:val="DefaultParagraphFont"/>
    <w:link w:val="Footer"/>
    <w:uiPriority w:val="99"/>
    <w:rsid w:val="00694A84"/>
    <w:rPr>
      <w:rFonts w:ascii="Times New Roman" w:eastAsia="Times New Roman" w:hAnsi="Times New Roman" w:cs="Times New Roman"/>
    </w:rPr>
  </w:style>
  <w:style w:type="character" w:styleId="Hyperlink">
    <w:name w:val="Hyperlink"/>
    <w:basedOn w:val="DefaultParagraphFont"/>
    <w:uiPriority w:val="99"/>
    <w:semiHidden/>
    <w:unhideWhenUsed/>
    <w:rsid w:val="0055563B"/>
    <w:rPr>
      <w:color w:val="0000FF"/>
      <w:u w:val="single"/>
    </w:rPr>
  </w:style>
  <w:style w:type="character" w:styleId="FollowedHyperlink">
    <w:name w:val="FollowedHyperlink"/>
    <w:basedOn w:val="DefaultParagraphFont"/>
    <w:uiPriority w:val="99"/>
    <w:semiHidden/>
    <w:unhideWhenUsed/>
    <w:rsid w:val="00C4243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3015">
      <w:bodyDiv w:val="1"/>
      <w:marLeft w:val="0"/>
      <w:marRight w:val="0"/>
      <w:marTop w:val="0"/>
      <w:marBottom w:val="0"/>
      <w:divBdr>
        <w:top w:val="none" w:sz="0" w:space="0" w:color="auto"/>
        <w:left w:val="none" w:sz="0" w:space="0" w:color="auto"/>
        <w:bottom w:val="none" w:sz="0" w:space="0" w:color="auto"/>
        <w:right w:val="none" w:sz="0" w:space="0" w:color="auto"/>
      </w:divBdr>
    </w:div>
    <w:div w:id="878319103">
      <w:bodyDiv w:val="1"/>
      <w:marLeft w:val="0"/>
      <w:marRight w:val="0"/>
      <w:marTop w:val="0"/>
      <w:marBottom w:val="0"/>
      <w:divBdr>
        <w:top w:val="none" w:sz="0" w:space="0" w:color="auto"/>
        <w:left w:val="none" w:sz="0" w:space="0" w:color="auto"/>
        <w:bottom w:val="none" w:sz="0" w:space="0" w:color="auto"/>
        <w:right w:val="none" w:sz="0" w:space="0" w:color="auto"/>
      </w:divBdr>
    </w:div>
    <w:div w:id="1300382229">
      <w:bodyDiv w:val="1"/>
      <w:marLeft w:val="0"/>
      <w:marRight w:val="0"/>
      <w:marTop w:val="0"/>
      <w:marBottom w:val="0"/>
      <w:divBdr>
        <w:top w:val="none" w:sz="0" w:space="0" w:color="auto"/>
        <w:left w:val="none" w:sz="0" w:space="0" w:color="auto"/>
        <w:bottom w:val="none" w:sz="0" w:space="0" w:color="auto"/>
        <w:right w:val="none" w:sz="0" w:space="0" w:color="auto"/>
      </w:divBdr>
    </w:div>
    <w:div w:id="1409696366">
      <w:bodyDiv w:val="1"/>
      <w:marLeft w:val="0"/>
      <w:marRight w:val="0"/>
      <w:marTop w:val="0"/>
      <w:marBottom w:val="0"/>
      <w:divBdr>
        <w:top w:val="none" w:sz="0" w:space="0" w:color="auto"/>
        <w:left w:val="none" w:sz="0" w:space="0" w:color="auto"/>
        <w:bottom w:val="none" w:sz="0" w:space="0" w:color="auto"/>
        <w:right w:val="none" w:sz="0" w:space="0" w:color="auto"/>
      </w:divBdr>
    </w:div>
    <w:div w:id="20024609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b62ace7-dc63-422a-bc3d-160030b6c544" xsi:nil="true"/>
    <lcf76f155ced4ddcb4097134ff3c332f xmlns="825ec92c-3adf-477d-94fd-0f6f45393e7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5E626AF985D4E4AA3548E5E8141209B" ma:contentTypeVersion="11" ma:contentTypeDescription="Create a new document." ma:contentTypeScope="" ma:versionID="2fbe19da36dc02b4e82b76b83f1c60f5">
  <xsd:schema xmlns:xsd="http://www.w3.org/2001/XMLSchema" xmlns:xs="http://www.w3.org/2001/XMLSchema" xmlns:p="http://schemas.microsoft.com/office/2006/metadata/properties" xmlns:ns2="825ec92c-3adf-477d-94fd-0f6f45393e75" xmlns:ns3="1b62ace7-dc63-422a-bc3d-160030b6c544" targetNamespace="http://schemas.microsoft.com/office/2006/metadata/properties" ma:root="true" ma:fieldsID="8c0b671534900aa0cdd4d2d27fb4aac5" ns2:_="" ns3:_="">
    <xsd:import namespace="825ec92c-3adf-477d-94fd-0f6f45393e75"/>
    <xsd:import namespace="1b62ace7-dc63-422a-bc3d-160030b6c544"/>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5ec92c-3adf-477d-94fd-0f6f45393e7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62ace7-dc63-422a-bc3d-160030b6c544"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a73299c8-85f7-414d-ba78-f6c9d93fbddf}" ma:internalName="TaxCatchAll" ma:showField="CatchAllData" ma:web="1b62ace7-dc63-422a-bc3d-160030b6c5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2F318A-7977-4C2E-BB36-9788ECCAF54D}">
  <ds:schemaRefs>
    <ds:schemaRef ds:uri="http://schemas.microsoft.com/office/2006/metadata/properties"/>
    <ds:schemaRef ds:uri="http://schemas.microsoft.com/office/infopath/2007/PartnerControls"/>
    <ds:schemaRef ds:uri="1b62ace7-dc63-422a-bc3d-160030b6c544"/>
    <ds:schemaRef ds:uri="825ec92c-3adf-477d-94fd-0f6f45393e75"/>
  </ds:schemaRefs>
</ds:datastoreItem>
</file>

<file path=customXml/itemProps2.xml><?xml version="1.0" encoding="utf-8"?>
<ds:datastoreItem xmlns:ds="http://schemas.openxmlformats.org/officeDocument/2006/customXml" ds:itemID="{489686FC-B1CD-4C1F-B963-AF9E04C84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5ec92c-3adf-477d-94fd-0f6f45393e75"/>
    <ds:schemaRef ds:uri="1b62ace7-dc63-422a-bc3d-160030b6c5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AAA653-E510-4897-BCD8-F7D129E6C9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847</Words>
  <Characters>4833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Simulation of a 10 GHz MCML Charge Pump for PLL Applications</dc:title>
  <dc:subject>BECE303L VLSI System Design mini project report</dc:subject>
  <dc:creator>Shivam Kumar; Pragyan Jain; K Navin Aakash</dc:creator>
  <cp:keywords>MCML, charge pump, PLL, Virtuoso, delay</cp:keywords>
  <cp:lastModifiedBy>Saravana kumar R</cp:lastModifiedBy>
  <cp:revision>5</cp:revision>
  <dcterms:created xsi:type="dcterms:W3CDTF">2025-08-24T15:33:00Z</dcterms:created>
  <dcterms:modified xsi:type="dcterms:W3CDTF">2026-10-17T05:16:00Z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2024-03-08T00:00:00Z</vt:filetime>
  </property>
  <property fmtid="{D5CDD505-2E9C-101B-9397-08002B2CF9AE}" pid="3" name="GrammarlyDocumentId">
    <vt:lpwstr>2aad81861a5bb4ac866da25bf2c358d2d24faa0c3e2bf181235ecf83184ea0e1</vt:lpwstr>
  </property>
  <property fmtid="{D5CDD505-2E9C-101B-9397-08002B2CF9AE}" pid="4" name="ContentTypeId">
    <vt:lpwstr>0x010100F5E626AF985D4E4AA3548E5E8141209B</vt:lpwstr>
  </property>
  <property fmtid="{D5CDD505-2E9C-101B-9397-08002B2CF9AE}" pid="5" name="MediaServiceImageTags">
    <vt:lpwstr/>
  </property>
</Properties>
</file>