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HACKSPHERE 2026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PHASE 1 PROPOSAL IDEA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7ea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right="-10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Project Title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TANDATANI — A Verifiable Plot Passport for Every Smallholder</w:t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tbl>
      <w:tblPr>
        <w:tblStyle w:val="Table2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465"/>
        <w:tblGridChange w:id="0">
          <w:tblGrid>
            <w:gridCol w:w="2580"/>
            <w:gridCol w:w="64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7ea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Identity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ROOT ACCESS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Category </w:t>
            </w: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International (All Members)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tbl>
      <w:tblPr>
        <w:tblStyle w:val="Table3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6465"/>
        <w:tblGridChange w:id="0">
          <w:tblGrid>
            <w:gridCol w:w="2580"/>
            <w:gridCol w:w="6465"/>
          </w:tblGrid>
        </w:tblGridChange>
      </w:tblGrid>
      <w:tr>
        <w:trPr>
          <w:cantSplit w:val="0"/>
          <w:trHeight w:val="143" w:hRule="atLeast"/>
          <w:tblHeader w:val="0"/>
        </w:trPr>
        <w:tc>
          <w:tcPr>
            <w:gridSpan w:val="2"/>
            <w:shd w:fill="a7ea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Leader's Personal Information</w:t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Shivam Gupta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Status (Current) </w:t>
            </w: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College Student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shivam1720406@gmail.com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India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Institution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‹leader: institution›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gridSpan w:val="2"/>
            <w:shd w:fill="a7ea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Member 1 Personal Information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1: full name›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Status (Current) </w:t>
            </w: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College Student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1: email›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1: country›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Institution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1: institution›</w:t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gridSpan w:val="2"/>
            <w:shd w:fill="a7ea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Member 2 Personal Information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2: full name›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Student Status (Current) </w:t>
            </w: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College Student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</w:t>
            </w:r>
            <w:r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2: email›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2: country›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Institution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‹Member 2: institution›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scr9oruux9p9" w:id="0"/>
      <w:bookmarkEnd w:id="0"/>
      <w:r>
        <w:rPr>
          <w:rFonts w:ascii="Times New Roman" w:cs="Times New Roman" w:eastAsia="Times New Roman" w:hAnsi="Times New Roman"/>
          <w:rtl w:val="0"/>
        </w:rPr>
        <w:t xml:space="preserve">Executive Summary</w:t>
      </w:r>
    </w:p>
    <w:p>
      <w:pPr>
        <w:spacing w:after="11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TANDATANI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(from Bahasa Indonesia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tanda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“mark” +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tani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“farmer” — an echo of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tanda tangan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 signature) gives every smallholder plot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cryptographically verifiable Plot Passport that the farmer owns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so Indonesia’s 1.6 million coffee-farming families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and after them the palm, cocoa and rubber smallholders behind up to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US$7 billion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of exports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are not locked out of Europe when the EU Deforestation Regulation takes effect on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30 December 2026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3,4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registration that doubles as a farmer’s geolocation record, e-STDB, covers just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0.03% of coffee farmers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today;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TandaTani closes that gap at the price of a WhatsApp message.</w:t>
      </w:r>
    </w:p>
    <w:p>
      <w:pPr>
        <w:spacing w:after="11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cooperative officer maps a plot in minutes on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Bahasa-first, offline-capable app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; an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AI engine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cross-examines it against official satellite forest data (FAO Whisp, JRC-2020 baseline, GLAD/RADD alerts)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6,7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explains its verdict in plain Bahasa; the cooperative then signs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W3C Verifiable Credential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8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farmer keeps and can carry to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any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buyer, its evidence hash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anchored on the Polygon public chain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(≈ $0.001 per thousand plots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9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 Exporters click once for an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EU-ready due-diligence dossier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(TRACES GeoJSON)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and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anyone, including the judges reading this, can scan a QR and verify the entire chain of proof with no account, no permission, and no trust in us.</w:t>
      </w:r>
    </w:p>
    <w:p>
      <w:pPr>
        <w:spacing w:after="16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Farmers pay nothing; exporters pay per shipment — less than 6% of a single consultant-day at today’s €800–1,500 rates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for compliance that carries a documented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+US$50/tonne premium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(Vietnamese-robusta benchmark).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12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Hybrid Web2 + Web3 + AI, every component free-tier, and every feature scoped to run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live, end-to-end, within the 24-hour final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kkb854bko1bg" w:id="1"/>
      <w:bookmarkEnd w:id="1"/>
      <w:r>
        <w:rPr>
          <w:rFonts w:ascii="Times New Roman" w:cs="Times New Roman" w:eastAsia="Times New Roman" w:hAnsi="Times New Roman"/>
          <w:rtl w:val="0"/>
        </w:rPr>
        <w:t xml:space="preserve">Problem Statement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The problem in one sentence: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from 30 December 2026, every kilogram of coffee, palm oil, cocoa or rubber entering the EU must carry plot-level geolocation proof that it grew on land that was not deforested after 2020 — and the Indonesian smallholders who grow almost all of it have effectively none of the required records.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2.1  A regulatory wall, eleven weeks after this hackathon’s final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Regulation (EU) 2023/1115 (EUDR) obliges any operator placing seven commodities on the EU market to file a due-diligence statement containing the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geolocation of every plot of origin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a GPS point for plots up to 4 ha, a full polygon above that — plus evidence of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no deforestation after 31 Dec 2020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of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legality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under Indonesian law.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3,10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After two postponements, enforcement begins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30 December 2026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large and medium operators (30 June 2027 for micro/small);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4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runway has been consumed, and the simplifications that came with the delay did not remove the plot-level data requirement. Non-compliance risks fines whose ceiling is no lower than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4% of a company’s EU-wide turnover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plus confiscation and exclusion from public procurement.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Indonesia is benchmarked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“standard risk”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3% of operators face ex-post audits, but a valid DDS reference is a customs precondition for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every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shipment, and buyers facing the fines push the data burden upstream regardless.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13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2.2  The people on the wrong side of the wall</w:t>
      </w:r>
    </w:p>
    <w:tbl>
      <w:tblPr>
        <w:tblW w:w="8309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769"/>
        <w:gridCol w:w="2769"/>
        <w:gridCol w:w="2769"/>
      </w:tblGrid>
      <w:tr>
        <w:tc>
          <w:tcPr>
            <w:tcW w:w="2769" w:type="dxa"/>
            <w:tcBorders>
              <w:top w:color="33c1cc" w:sz="18" w:space="0" w:val="single"/>
              <w:left w:color="ffffff" w:sz="24" w:space="0" w:val="single"/>
              <w:bottom w:val="nil"/>
              <w:right w:color="ffffff" w:sz="24" w:space="0" w:val="single"/>
            </w:tcBorders>
            <w:shd w:fill="f2fafb" w:val="clear"/>
            <w:tcMar>
              <w:top w:w="1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color w:val="044064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color w:val="044064"/>
                <w:rtl w:val="0"/>
              </w:rPr>
              <w:t xml:space="preserve">99.3%</w:t>
            </w:r>
          </w:p>
        </w:tc>
        <w:tc>
          <w:tcPr>
            <w:tcW w:w="2769" w:type="dxa"/>
            <w:tcBorders>
              <w:top w:color="33c1cc" w:sz="18" w:space="0" w:val="single"/>
              <w:left w:color="ffffff" w:sz="24" w:space="0" w:val="single"/>
              <w:bottom w:val="nil"/>
              <w:right w:color="ffffff" w:sz="24" w:space="0" w:val="single"/>
            </w:tcBorders>
            <w:shd w:fill="f2fafb" w:val="clear"/>
            <w:tcMar>
              <w:top w:w="1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color w:val="044064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color w:val="044064"/>
                <w:rtl w:val="0"/>
              </w:rPr>
              <w:t xml:space="preserve">0.03%</w:t>
            </w:r>
          </w:p>
        </w:tc>
        <w:tc>
          <w:tcPr>
            <w:tcW w:w="2769" w:type="dxa"/>
            <w:tcBorders>
              <w:top w:color="33c1cc" w:sz="18" w:space="0" w:val="single"/>
              <w:left w:color="ffffff" w:sz="24" w:space="0" w:val="single"/>
              <w:bottom w:val="nil"/>
              <w:right w:color="ffffff" w:sz="24" w:space="0" w:val="single"/>
            </w:tcBorders>
            <w:shd w:fill="f2fafb" w:val="clear"/>
            <w:tcMar>
              <w:top w:w="120" w:type="dxa"/>
              <w:left w:w="80" w:type="dxa"/>
              <w:bottom w:w="2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color w:val="044064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40"/>
                <w:szCs w:val="40"/>
                <w:color w:val="044064"/>
                <w:rtl w:val="0"/>
              </w:rPr>
              <w:t xml:space="preserve">US$7 B</w:t>
            </w:r>
          </w:p>
        </w:tc>
      </w:tr>
      <w:tr>
        <w:tc>
          <w:tcPr>
            <w:tcW w:w="2769" w:type="dxa"/>
            <w:tcBorders>
              <w:top w:val="nil"/>
              <w:left w:color="ffffff" w:sz="24" w:space="0" w:val="single"/>
              <w:bottom w:color="ffffff" w:sz="4" w:space="0" w:val="single"/>
              <w:right w:color="ffffff" w:sz="24" w:space="0" w:val="single"/>
            </w:tcBorders>
            <w:shd w:fill="f2fafb" w:val="clear"/>
            <w:tcMar>
              <w:top w:w="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  <w:rtl w:val="0"/>
              </w:rPr>
              <w:t xml:space="preserve">of Indonesian coffee production comes from smallholders on 0.5–2 ha plots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  <w:vertAlign w:val="superscript"/>
                <w:rtl w:val="0"/>
              </w:rPr>
              <w:t xml:space="preserve">1,14</w:t>
            </w:r>
          </w:p>
        </w:tc>
        <w:tc>
          <w:tcPr>
            <w:tcW w:w="2769" w:type="dxa"/>
            <w:tcBorders>
              <w:top w:val="nil"/>
              <w:left w:color="ffffff" w:sz="24" w:space="0" w:val="single"/>
              <w:bottom w:color="ffffff" w:sz="4" w:space="0" w:val="single"/>
              <w:right w:color="ffffff" w:sz="24" w:space="0" w:val="single"/>
            </w:tcBorders>
            <w:shd w:fill="f2fafb" w:val="clear"/>
            <w:tcMar>
              <w:top w:w="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  <w:rtl w:val="0"/>
              </w:rPr>
              <w:t xml:space="preserve">of coffee farmers hold e-STDB — the registration that doubles as their geolocation record (MoA, 2024)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  <w:vertAlign w:val="superscript"/>
                <w:rtl w:val="0"/>
              </w:rPr>
              <w:t xml:space="preserve">5</w:t>
            </w:r>
          </w:p>
        </w:tc>
        <w:tc>
          <w:tcPr>
            <w:tcW w:w="2769" w:type="dxa"/>
            <w:tcBorders>
              <w:top w:val="nil"/>
              <w:left w:color="ffffff" w:sz="24" w:space="0" w:val="single"/>
              <w:bottom w:color="ffffff" w:sz="4" w:space="0" w:val="single"/>
              <w:right w:color="ffffff" w:sz="24" w:space="0" w:val="single"/>
            </w:tcBorders>
            <w:shd w:fill="f2fafb" w:val="clear"/>
            <w:tcMar>
              <w:top w:w="20" w:type="dxa"/>
              <w:left w:w="80" w:type="dxa"/>
              <w:bottom w:w="12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  <w:rtl w:val="0"/>
              </w:rPr>
              <w:t xml:space="preserve">of Indonesian exports exposed to EUDR requirements (CMEA estimate)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color w:val="4a4a4a"/>
                <w:vertAlign w:val="superscript"/>
                <w:rtl w:val="0"/>
              </w:rPr>
              <w:t xml:space="preserve">2</w:t>
            </w:r>
          </w:p>
        </w:tc>
      </w:tr>
    </w:tbl>
    <w:p>
      <w:pPr>
        <w:spacing w:after="0" w:before="0" w:line="240" w:lineRule="auto"/>
        <w:rPr>
          <w:sz w:val="60"/>
        </w:rPr>
      </w:pP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Indonesia is the world’s 4th-largest coffee producer (813,345 t in 2024)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15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its coffee is a smallholder crop to a degree few realize: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1.63 million farming households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work 98.1% of the coffee area.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pattern repeats across the EUDR basket: smallholders hold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40.6% of the 16.8 M ha of oil palm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(≈2.4 M households),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16,17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grow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99.8% of cocoa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18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≈91% of natural rubber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19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Yet the state instrument that would prove their plots’ location and legality — the e-STDB cultivation registration — has reached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1.07% of palm farmers, 0.03% of rubber and coffee farmers, and 0.00% of cocoa farmers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(Ministry of Agriculture data, July 2024 — the latest published breakdown).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By December 2023 exactly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15,054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e-STDB certificates existed against ≈2.4 million oil-palm households alone.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Koltiva — the largest traceability provider in the country — itself estimates that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only ≈1% of Indonesian smallholders meet EUDR traceability and legality requirements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20</w:t>
      </w:r>
    </w:p>
    <w:tbl>
      <w:tblPr>
        <w:tblW w:w="8309" w:type="dxa"/>
        <w:tblInd w:w="720" w:type="dxa"/>
        <w:tblBorders>
          <w:top w:color="0e7c86" w:sz="4" w:space="0" w:val="single"/>
          <w:left w:color="0e7c86" w:sz="24" w:space="0" w:val="single"/>
          <w:bottom w:color="0e7c86" w:sz="4" w:space="0" w:val="single"/>
          <w:right w:color="0e7c86" w:sz="4" w:space="0" w:val="single"/>
          <w:insideH w:val="nil"/>
          <w:insideV w:val="nil"/>
        </w:tblBorders>
        <w:tblLayout w:type="fixed"/>
        <w:tblLook w:val="0600"/>
      </w:tblPr>
      <w:tblGrid>
        <w:gridCol w:w="8309"/>
      </w:tblGrid>
      <w:tr>
        <w:tc>
          <w:tcPr>
            <w:tcW w:w="8309" w:type="dxa"/>
            <w:shd w:fill="f2fafb" w:val="clear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40" w:before="0" w:line="252" w:lineRule="auto"/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color w:val="0e7c8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21"/>
                <w:szCs w:val="21"/>
                <w:color w:val="0e7c86"/>
                <w:rtl w:val="0"/>
              </w:rPr>
              <w:t xml:space="preserve">Field reality, August 2026</w:t>
            </w:r>
          </w:p>
          <w:p>
            <w:pPr>
              <w:spacing w:after="0" w:before="0" w:line="252" w:lineRule="auto"/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</w:rPr>
            </w:pPr>
            <w:r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  <w:rtl w:val="0"/>
              </w:rPr>
              <w:t xml:space="preserve">In Pasaman, West Sumatra, Minangkabau families grow coffee inside ancestral </w:t>
            </w:r>
            <w:r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  <w:i w:val="1"/>
                <w:rtl w:val="0"/>
              </w:rPr>
              <w:t xml:space="preserve">parak</w:t>
            </w:r>
            <w:r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  <w:rtl w:val="0"/>
              </w:rPr>
              <w:t xml:space="preserve"> agroforests — shade trees, areca, sugar-palm and coffee layered “like a tidied forest.” It is the most forest-friendly coffee agriculture imaginable. But the plots “have no polygons and are not recorded in any database” — so, come 30 December, </w:t>
            </w:r>
            <w:r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  <w:i w:val="1"/>
                <w:rtl w:val="0"/>
              </w:rPr>
              <w:t xml:space="preserve">the most forest-friendly coffee has the highest chance of being refused at Europe’s door.</w:t>
            </w:r>
            <w:r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  <w:vertAlign w:val="superscript"/>
                <w:rtl w:val="0"/>
              </w:rPr>
              <w:t xml:space="preserve">21</w:t>
            </w:r>
            <w:r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  <w:rtl w:val="0"/>
              </w:rPr>
              <w:t xml:space="preserve"> Meanwhile in Gayo Lues, cooperative staff are walking member plots one by one, mapping by hand against protected-area boundaries.</w:t>
            </w:r>
            <w:r>
              <w:rPr>
                <w:rFonts w:ascii="Times New Roman" w:cs="Times New Roman" w:eastAsia="Times New Roman" w:hAnsi="Times New Roman"/>
                <w:i w:val="1"/>
                <w:sz w:val="21"/>
                <w:szCs w:val="21"/>
                <w:color w:val="1f2937"/>
                <w:vertAlign w:val="superscript"/>
                <w:rtl w:val="0"/>
              </w:rPr>
              <w:t xml:space="preserve">22</w:t>
            </w:r>
          </w:p>
        </w:tc>
      </w:tr>
    </w:tbl>
    <w:p>
      <w:pPr>
        <w:spacing w:after="0" w:before="0" w:line="240" w:lineRule="auto"/>
        <w:rPr>
          <w:sz w:val="60"/>
        </w:rPr>
      </w:pP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2.3  Why the gap persists — it is not a mapping problem</w:t>
      </w:r>
    </w:p>
    <w:p>
      <w:pPr>
        <w:spacing w:after="6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GPS point takes thirty seconds to capture. The real bottlenecks, documented across government and field studies, are structural: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Cost asymmetry.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Traditional certification routes cost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€86/ha upfront and €191–751 per farmer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can push a smallholder’s first-year net income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negative (−8%)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23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against typical plots of under 2 ha. Consultants bill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€800–1,500/day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These unit economics can never reach a 1-hectare farm.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Institutional throughput.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e-STDB issuance runs through district offices with limited capacity; the Agriculture Ministry has now opened data collection to third parties precisely because the state cannot map millions of plots alone.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24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A trust and custody gap.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Records collected by enterprise platforms belong to the paying client, not the farmer; Deputy Foreign Minister Havas Oegroseno put the farmer’s side bluntly — asked whether smallholders can perform EUDR’s screening duties: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“Can farmers do it? Of course not.”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25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The digital divide is real but navigable.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Only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46.8%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of Indonesia’s 28.2 M farmers use modern machinery or digital technology;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26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any workable solution must run offline, in Bahasa, on cheap Android phones — or through a literate cooperative officer.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Chain-of-custody fraud.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Collection points mix compliant and non-compliant lots; without tamper-evident records, one launderer can contaminate — legally and reputationally — an entire container.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27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2.4  The cost of doing nothing</w:t>
      </w: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market is already pricing the wall in. EU-bound Indonesian coffee shipments jumped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+72% to 2.4 million bags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 2025/26 as buyers front-load stock ahead of enforcement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28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stockpiling, not confidence. Compliant robusta already earns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+US$50/tonne premium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 Vietnam, where 35–40% of area is EUDR-ready; non-compliant beans are not discounted into Europe — they are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excluded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because mixing contaminates the lot.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12,27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Physical segregation adds up to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+25%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logistics cost.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 stake for Indonesia: up to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US$7 B of exports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by the government’s own estimate,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 the very moment the newly concluded EU–Indonesia CEPA (Sept 2025) finally opens the €28.9 B trade corridor wider.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29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door to Europe is being unlocked and walled up in the same year — and whether a farming family stays inside is decided by data they do not have.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Synthesis.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Indonesia does not have a deforestation-evidence problem so much as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proof-distribution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problem: the forests were standing in 2020, the satellites saw them, the farmers were there — but no instrument turns that truth into a portable, trusted, affordable record in a smallholder’s hand. That is precisely an infrastructure gap — and infrastructure is what we build.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fyfndg91bkap" w:id="2"/>
      <w:bookmarkEnd w:id="2"/>
      <w:r>
        <w:rPr>
          <w:rFonts w:ascii="Times New Roman" w:cs="Times New Roman" w:eastAsia="Times New Roman" w:hAnsi="Times New Roman"/>
          <w:rtl w:val="0"/>
        </w:rPr>
        <w:t xml:space="preserve">Proposed Solution &amp; Value Proposition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Indonesia’s harvest is real, the land is clean, but the evidence lives in paper folders, WhatsApp photos and enterprise databases the farmer will never control. TandaTani’s answer: give the proof itself to the person who created it. Every ingredient we use exists; the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combination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a compliance credential the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farmer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owns, priced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per shipment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verifiable by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anyone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without an account — exists nowhere in production, and §3.5 shows why incumbents cannot copy it without breaking their own business model.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3.1  The core concept — a Plot Passport, owned by the farmer</w:t>
      </w:r>
    </w:p>
    <w:p>
      <w:pPr>
        <w:spacing w:after="6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For every plot we assemble one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evidence bundle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geolocation (a GPS point for plots ≤ 4 ha, a walked polygon above — exactly the EU specification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the satellite deforestation verdict, legality documents, geotagged field photos and the review trail. After human review, the cooperative signs this bundle as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W3C Verifiable Credential 2.0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8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the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Plot Passport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Three properties make it more than a database row: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Portable.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passport downloads as a self-contained signed file — the credential, its evidence hashes and its Merkle proof, plus a printable QR card —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held by the farmer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on their own device, with cooperative custody as the fallback, never locked in our database. Verifying it needs only that file and the public chain: if the farmer changes buyer or platform, or if TandaTani itself disappears, the proof still verifies. None of the major incumbents offers this; their records live in the paying client’s silo.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30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Independently verifiable.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Each bundle’s SHA-256 hash is batched into a Merkle tree whose root is anchored on the Polygon public chain.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9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Any importer or auditor can re-compute the hash in a browser and confirm the record existed, unaltered, at issuance — without asking us, or trusting us.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Private by design.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chain carries only salted hashes — never coordinates, never names. Geolocation is disclosed solely inside the exporter’s due-diligence submission, as the regulation requires.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</w:t>
      </w:r>
    </w:p>
    <w:p>
      <w:pPr>
        <w:spacing w:after="12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Scope honesty — the legality pillar.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EUDR demands two proofs: deforestation-free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and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legal production. TandaTani verifies the first from satellites; for the second it structures and hash-seals the farmer’s legality evidence (e-STDB, land letters, cooperative membership), checks it for presence and internal consistency, and records who attested it — while authenticity verification remains with the issuing authorities. The dossier is evidence the exporter files under its own due-diligence responsibility; we do not replace that duty — we make it affordable to discharge.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3.2  How it works — one journey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Ibu Sari, a field officer of a Gayo cooperative, visits member farms with a mid-range Android. At Pak Karim’s plot she opens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Ladang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our farmer app: one tap for the GPS point, two photos, a harvest estimate — all offline; it syncs at the next signal. Overnight, the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AI engine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interrogates FAO Whisp and Global Forest Watch: was this forest on 31 Dec 2020? Any loss alerts since?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6,7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PostGIS checks no other member has claimed an overlapping polygon. The verdict returns in Bahasa: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“Lahan ini aman — tidak ada deforestasi terdeteksi setelah 2020,”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with every evidence layer attached. The cooperative chair reviews her queue, taps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Terbitkan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(“issue”), and the cooperative’s key signs Pak Karim’s Plot Passport. When an exporter builds its next container for Hamburg, it selects verified passports and TandaTani emits the TRACES-format GeoJSON dossier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plus a QR-coded evidence certificate. The importer scans the QR: hash matches, signature valid, root on-chain — due diligence the importer can re-verify, byte for byte, five years from now.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3.3  Why Web3 — an honest answer, not a buzzword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The trust gap is structural.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 EU importer must rely on evidence from a smallholder they will never meet, passed through 3–5 intermediaries — some of whom profit from laundering non-compliant volume into compliant lots.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vendor’s private database asks the importer to trust the vendor and every editor; a public anchor makes tampering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detectable by anyone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a signature proves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who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wrote a record, the anchor proves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when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so no issuer can quietly backdate a passport after a deforestation alert lands.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Records must outlive companies.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EUDR requires operators to keep due-diligence records for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five years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Startups die; anchored hashes on a public chain do not.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Portability breaks lock-in.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Verifiable Credentials give farmers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exit rights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over their own compliance history — the structural opposite of enterprise traceability, and the reason a farmer-first platform can win cooperatives’ participation.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Decentralized authentication where it belongs.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Exporters sign in with their wallets (SIWE); cooperatives hold signing keys (DIDs); farmers never touch crypto — a relayer pays the sub-cent gas. Web3 machinery, zero Web3 friction.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3.4  Why AI — verification at a price a smallholder can afford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Manual verification costs €800–1,500 per consultant-day;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corporate mapping programs have burned millions. TandaTani’s engine performs the equivalent convergence-of-evidence analysis in seconds for ≈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$0.002 per plot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deterministic geospatial scoring over official datasets (JRC forest baseline 2020, GLAD/RADD alerts, commodity maps via Whisp, with Global Forest Watch as an independent backup track)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6,7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plus PostGIS geometry-anomaly detection against duplicate or overlapping claims — then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Gemini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(official Bahasa support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renders the verdict as three plain sentences a farmer can act on, and powers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Tanya Tani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 field-question copilot. The design principle is auditable honesty: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AI narrates; evidence decides.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Every verdict links its raw sources.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3.5  The landscape — and the wedge it leaves open</w:t>
      </w:r>
    </w:p>
    <w:tbl>
      <w:tblPr>
        <w:tblW w:w="8309" w:type="dxa"/>
        <w:tblInd w:w="72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760"/>
        <w:gridCol w:w="2500"/>
        <w:gridCol w:w="3049"/>
      </w:tblGrid>
      <w:tr>
        <w:trPr>
          <w:cantSplit w:val="1"/>
        </w:trPr>
        <w:tc>
          <w:tcPr>
            <w:tcW w:w="276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rtl w:val="0"/>
              </w:rPr>
              <w:t xml:space="preserve">Today’s options</w:t>
            </w:r>
          </w:p>
        </w:tc>
        <w:tc>
          <w:tcPr>
            <w:tcW w:w="250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rtl w:val="0"/>
              </w:rPr>
              <w:t xml:space="preserve">Who pays, roughly</w:t>
            </w:r>
          </w:p>
        </w:tc>
        <w:tc>
          <w:tcPr>
            <w:tcW w:w="3049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rtl w:val="0"/>
              </w:rPr>
              <w:t xml:space="preserve">The gap TandaTani exploits</w:t>
            </w:r>
          </w:p>
        </w:tc>
      </w:tr>
      <w:tr>
        <w:trPr>
          <w:cantSplit w:val="1"/>
        </w:trPr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Enterprise traceability — Koltiva, osapiens, Sourcemap, Agridence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30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Exporters/brands: €10k–50k+/yr + €5k–90k setup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11</w:t>
            </w:r>
          </w:p>
        </w:tc>
        <w:tc>
          <w:tcPr>
            <w:tcW w:w="30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Top-down; the farmer is a data row; records sit in the client’s silo</w:t>
            </w:r>
          </w:p>
        </w:tc>
      </w:tr>
      <w:tr>
        <w:trPr>
          <w:cantSplit w:val="1"/>
        </w:trPr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Web3 agri-platforms — Dimitra × PT Surveyor Indonesia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32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Enterprise deals; fees tied to the DMTR token</w:t>
            </w:r>
          </w:p>
        </w:tc>
        <w:tc>
          <w:tcPr>
            <w:tcW w:w="30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Token volatility as a compliance dependency; credentials not farmer-owned</w:t>
            </w:r>
          </w:p>
        </w:tc>
      </w:tr>
      <w:tr>
        <w:trPr>
          <w:cantSplit w:val="1"/>
        </w:trPr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NGO transparency — Fairfood Trace (Hedera)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33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Donor-funded pilots</w:t>
            </w:r>
          </w:p>
        </w:tc>
        <w:tc>
          <w:tcPr>
            <w:tcW w:w="30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Premium storytelling, not EUDR dossier automation; no AI verification</w:t>
            </w:r>
          </w:p>
        </w:tc>
      </w:tr>
      <w:tr>
        <w:trPr>
          <w:cantSplit w:val="1"/>
        </w:trPr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Consultants &amp; certifiers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11,23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€800–1,500/day; €191–751 per certified farmer</w:t>
            </w:r>
          </w:p>
        </w:tc>
        <w:tc>
          <w:tcPr>
            <w:tcW w:w="30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Unit economics that can never reach a 2-ha farm</w:t>
            </w:r>
          </w:p>
        </w:tc>
      </w:tr>
      <w:tr>
        <w:trPr>
          <w:cantSplit w:val="1"/>
        </w:trPr>
        <w:tc>
          <w:tcPr>
            <w:tcW w:w="27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Free public tools — Whisp, GFW, TRACES, Fairtrade Plot Insights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6,34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Free</w:t>
            </w:r>
          </w:p>
        </w:tc>
        <w:tc>
          <w:tcPr>
            <w:tcW w:w="30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Analysis and filing exist — identity, attestations, volume-bounded dossiers, offline Bahasa capture and portable credentials do not</w:t>
            </w:r>
          </w:p>
        </w:tc>
      </w:tr>
    </w:tbl>
    <w:p>
      <w:pPr>
        <w:spacing w:after="0" w:before="0" w:line="240" w:lineRule="auto"/>
        <w:rPr>
          <w:sz w:val="40"/>
        </w:rPr>
      </w:pP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Unique selling proposition.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TandaTani is the only design in this landscape where the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farmer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ends up owning a portable, publicly verifiable compliance credential — free — while the exporter pays per shipment instead of per year. Incumbents cannot copy this without dismantling their enterprise pricing and data custody; that structural conflict, not secrecy, is our moat. And we are deliberately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complementary to the state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Indonesia’s blockchain-based National Dashboard and the e-STDB drive need exactly the verified, plot-level smallholder data we produce — the Agriculture Ministry now invites third parties to collect it.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24,35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TandaTani is the missing last mile between a farmer’s field and every rail built above it.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vogkbieq5itg" w:id="3"/>
      <w:bookmarkEnd w:id="3"/>
      <w:r>
        <w:rPr>
          <w:rFonts w:ascii="Times New Roman" w:cs="Times New Roman" w:eastAsia="Times New Roman" w:hAnsi="Times New Roman"/>
          <w:rtl w:val="0"/>
        </w:rPr>
        <w:t xml:space="preserve">Minimum Viable Product (MVP) / Key Features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Everything below will be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built and running end-to-end during the 24-hour final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live backend, live satellite queries, live chain writes, on a public URL. Nothing hardcoded, nothing mocked. Scope discipline is the strategy: five features, each independently demoable, composing one continuous story.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Feature 1 — Ladang: offline-first plot capture (Bahasa)</w:t>
      </w: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PWA for low-end Android. One-tap GPS point for plots ≤ 4 ha (per the EU geolocation spec;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smartphone GPS reaches ≤ 4.9 m in open sky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36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and under shade canopy Ladang shows live accuracy, accepting a point only below a 10 m threshold with tap-on-imagery fallback) or walk-the-boundary polygon capture above 4 ha, over Esri satellite imagery (MapLibre GL). Farmer profile, plot photos, harvest estimate. Captures queue in IndexedDB and sync when signal returns — demonstrated live in airplane mode.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Feature 2 — AI verification engine</w:t>
      </w: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On sync, the backend submits each geometry to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FAO Whisp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6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(convergence of evidence across JRC forest-cover 2020, tropical-moist-forest, GLAD-L/S2 and RADD alerts, ESA WorldCover, commodity maps) with the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Global Forest Watch API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as an independent second track.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PostGIS runs ST_Intersects duplicate/overlap detection against every existing plot. Results fuse into a deterministic risk score;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Gemini 2.5 Flash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renders the verdict as three plain-Bahasa sentences with evidence links. The demo shows a clean plot passing and a test polygon drawn over post-2020 forest loss failing — live.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Feature 3 — Plot Passport issuance (Cooperative Console)</w:t>
      </w: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review queue for the cooperative: map, AI verdict, photos and anomaly flags side by side; approve or reject in one tap. On approval the platform issues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W3C Verifiable Credential 2.0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Ed25519-signed by the cooperative’s did:key.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8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passport — with its QR — appears instantly in the farmer’s app.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Feature 4 — Public anchoring &amp; one-scan verification</w:t>
      </w: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Evidence hashes batch into a Merkle tree; the root is anchored by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TandaRegistry.sol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on Polygon (Amoy testnet in the demo; the identical call costs ≈ $0.001 on mainnet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9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). The public verify page re-computes the bundle hash in-browser and checks the VC signature plus the Merkle proof against the on-chain root — no login, no API key, no trust in TandaTani.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Judges can scan the QR from their own phones during the pitch.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Feature 5 — Exporter DDS Studio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Wallet sign-in (SIWE); pick verified passports into a batch; export a due-diligence dossier —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TRACES-conformant GeoJSON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(WGS-84, six-decimal precision, point-or-polygon by plot size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10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plus a QR-stamped evidence-summary PDF.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volume-plausibility gate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blocks any dossier whose tonnage exceeds the summed harvest estimates of its passports — the launderer’s math stops working — and an append-only audit log shows every state change behind it.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The 24-hour execution plan (3 builders × 24 h)</w:t>
      </w:r>
    </w:p>
    <w:tbl>
      <w:tblPr>
        <w:tblW w:w="8309" w:type="dxa"/>
        <w:tblInd w:w="72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0"/>
        <w:gridCol w:w="2280"/>
        <w:gridCol w:w="2340"/>
        <w:gridCol w:w="2289"/>
      </w:tblGrid>
      <w:tr>
        <w:trPr>
          <w:cantSplit w:val="1"/>
        </w:trPr>
        <w:tc>
          <w:tcPr>
            <w:tcW w:w="140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Window (WIB)</w:t>
            </w:r>
          </w:p>
        </w:tc>
        <w:tc>
          <w:tcPr>
            <w:tcW w:w="228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Builder 1 (S. Gupta) — Web3 / Infra</w:t>
            </w:r>
          </w:p>
        </w:tc>
        <w:tc>
          <w:tcPr>
            <w:tcW w:w="234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Builder 2 — Frontend / PWA</w:t>
            </w:r>
          </w:p>
        </w:tc>
        <w:tc>
          <w:tcPr>
            <w:tcW w:w="2289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Builder 3 — Backend / AI</w:t>
            </w:r>
          </w:p>
        </w:tc>
      </w:tr>
      <w:tr>
        <w:trPr>
          <w:cantSplit w:val="1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10:00–14:00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Repo/CI; Vercel + Supabase; deploy TandaRegistry.sol to Amoy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App shell; map capture; offline queue</w:t>
            </w:r>
          </w:p>
        </w:tc>
        <w:tc>
          <w:tcPr>
            <w:tcW w:w="2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Supabase schema + PostGIS; API skeleton</w:t>
            </w:r>
          </w:p>
        </w:tc>
      </w:tr>
      <w:tr>
        <w:trPr>
          <w:cantSplit w:val="1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14:00–19:00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VC issuance service (did:key, Ed25519)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Farmer flows; verification result UI</w:t>
            </w:r>
          </w:p>
        </w:tc>
        <w:tc>
          <w:tcPr>
            <w:tcW w:w="2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Whisp + GFW integration; risk scorer</w:t>
            </w:r>
          </w:p>
        </w:tc>
      </w:tr>
      <w:tr>
        <w:trPr>
          <w:cantSplit w:val="1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19:00–00:00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Merkle batcher + anchoring worker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Cooperative Console</w:t>
            </w:r>
          </w:p>
        </w:tc>
        <w:tc>
          <w:tcPr>
            <w:tcW w:w="2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Gemini Bahasa verdicts; Tanya Tani</w:t>
            </w:r>
          </w:p>
        </w:tc>
      </w:tr>
      <w:tr>
        <w:trPr>
          <w:cantSplit w:val="1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00:00–05:00</w:t>
            </w:r>
          </w:p>
        </w:tc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Public verify page (hash + proof in browser)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Exporter DDS Studio</w:t>
            </w:r>
          </w:p>
        </w:tc>
        <w:tc>
          <w:tcPr>
            <w:tcW w:w="228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TRACES GeoJSON + PDF dossier generator</w:t>
            </w:r>
          </w:p>
        </w:tc>
      </w:tr>
      <w:tr>
        <w:trPr>
          <w:cantSplit w:val="1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05:00–08:00</w:t>
            </w:r>
          </w:p>
        </w:tc>
        <w:tc>
          <w:tcPr>
            <w:tcW w:w="6909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Integration pass, all hands — seeded Gayo demo dataset, airplane-mode drill, cross-device tests</w:t>
            </w:r>
          </w:p>
        </w:tc>
      </w:tr>
      <w:tr>
        <w:trPr>
          <w:cantSplit w:val="1"/>
        </w:trPr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08:00–10:00</w:t>
            </w:r>
          </w:p>
        </w:tc>
        <w:tc>
          <w:tcPr>
            <w:tcW w:w="6909" w:type="dxa"/>
            <w:gridSpan w:val="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Hardening, deploy freeze, pitch rehearsal ×3, Q&amp;A drill</w:t>
            </w:r>
          </w:p>
        </w:tc>
      </w:tr>
    </w:tbl>
    <w:p>
      <w:pPr>
        <w:spacing w:after="0" w:before="0" w:line="240" w:lineRule="auto"/>
        <w:rPr>
          <w:sz w:val="40"/>
        </w:rPr>
      </w:pP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Feasibility rests on rehearsed pieces, not hope. Every external service (Whisp, GFW, Gemini, Amoy faucet, Supabase, Vercel) is free-tier, with accounts and API keys provisioned before the clock starts. Fallbacks are pre-planned: GFW if Whisp queues slowly; Groq/Llama behind the same interface if Gemini rate-limits; a cached verification fixture exists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only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as an offline-resilience aid and would be labeled as such on screen, never presented as live output.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Cut-not-fake rule: if a feature slips, we cut it — we never simulate it.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Declared cut order if time slips: the Tanya Tani copilot goes first, the PDF dossier second (the TRACES GeoJSON remains), Exporter Studio polish third — the capture → verify → issue → publicly-verify loop (Features 1–4) is the non-negotiable demo core.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Deliberately out of the 24-hour scope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native mobile builds, payments, marketplace, mainnet deployment, SD-JWT selective disclosure, voice interface. They appear in §5 as roadmap and are promised nowhere as demo.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6608994megf0" w:id="4"/>
      <w:bookmarkEnd w:id="4"/>
      <w:r>
        <w:rPr>
          <w:rFonts w:ascii="Times New Roman" w:cs="Times New Roman" w:eastAsia="Times New Roman" w:hAnsi="Times New Roman"/>
          <w:rtl w:val="0"/>
        </w:rPr>
        <w:t xml:space="preserve">Target Market &amp; Impact Viability</w:t>
      </w:r>
    </w:p>
    <w:p>
      <w:pPr>
        <w:keepNext w:val="1"/>
        <w:spacing w:after="80" w:before="4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5.1  Exactly who uses TandaTani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Primary — cooperative field officers and managers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 Indonesia’s Arabica belt: specifically the Gayo highlands (Aceh Tengah, Bener Meriah, Gayo Lues), home to Southeast Asia’s largest Arabica area, a protected Geographical Indication origin since 2010, and cooperatives like women-led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Kopepi Ketiara (2,000+ members across 19 villages)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which face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January 2027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Fairtrade geolocation deadline on top of EUDR.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34,37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These are digitally literate professionals mapping member plots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by hand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today.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22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Primary — compliance managers at Indonesian coffee exporters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shipping green beans to Belgium and Germany (the top two EU destinations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28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who currently face consultant day-rates or enterprise SaaS to produce every due-diligence statement.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11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Secondary (year 1–2)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cocoa and rubber cooperatives (0.00% and 0.03% e-STDB coverage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5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), then independent palm smallholder associations;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EU importers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who verify passports (free) and later pay for API access.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Validation, honestly stated: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we have not yet interviewed a customer. Between this submission and the final we will hold structured calls with Gayo cooperative officers (intro path: the WRI Sustainable Gayo Coffee network and Fairtrade producer support) to test willingness-to-pay — and we will report what we hear, including bad news, on stage.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5.2  Market size, from the bottom up</w:t>
      </w:r>
    </w:p>
    <w:tbl>
      <w:tblPr>
        <w:tblW w:w="8309" w:type="dxa"/>
        <w:tblInd w:w="72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80"/>
        <w:gridCol w:w="4300"/>
        <w:gridCol w:w="1729"/>
      </w:tblGrid>
      <w:tr>
        <w:trPr>
          <w:cantSplit w:val="1"/>
        </w:trPr>
        <w:tc>
          <w:tcPr>
            <w:tcW w:w="228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rtl w:val="0"/>
              </w:rPr>
              <w:t xml:space="preserve">Scope</w:t>
            </w:r>
          </w:p>
        </w:tc>
        <w:tc>
          <w:tcPr>
            <w:tcW w:w="430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rtl w:val="0"/>
              </w:rPr>
              <w:t xml:space="preserve">Basis</w:t>
            </w:r>
          </w:p>
        </w:tc>
        <w:tc>
          <w:tcPr>
            <w:tcW w:w="1729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b w:val="1"/>
                <w:rtl w:val="0"/>
              </w:rPr>
              <w:t xml:space="preserve">Size</w:t>
            </w:r>
          </w:p>
        </w:tc>
      </w:tr>
      <w:tr>
        <w:trPr>
          <w:cantSplit w:val="1"/>
        </w:trPr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TAM — EUDR due-diligence software, global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Analyst estimate, 2026 → 2036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38</w:t>
            </w:r>
          </w:p>
        </w:tc>
        <w:tc>
          <w:tcPr>
            <w:tcW w:w="1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US$1.1 B → 1.8 B</w:t>
            </w:r>
          </w:p>
        </w:tc>
      </w:tr>
      <w:tr>
        <w:trPr>
          <w:cantSplit w:val="1"/>
        </w:trPr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SAM — Indonesian smallholder EUDR corridor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≈7.5 M smallholder households across coffee (1.63 M), palm (2.4 M), cocoa (1.4 M), rubber (2.1 M); exports at stake up to US$7 B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vertAlign w:val="superscript"/>
                <w:rtl w:val="0"/>
              </w:rPr>
              <w:t xml:space="preserve">2</w:t>
            </w:r>
          </w:p>
        </w:tc>
        <w:tc>
          <w:tcPr>
            <w:tcW w:w="1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≈7.5 M farms · US$7 B trade</w:t>
            </w:r>
          </w:p>
        </w:tc>
      </w:tr>
      <w:tr>
        <w:trPr>
          <w:cantSplit w:val="1"/>
        </w:trPr>
        <w:tc>
          <w:tcPr>
            <w:tcW w:w="22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SOM — 12-month beachhead: Gayo coffee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(8,000 members × €1.40 × 2 seasons) + (200 dossiers × €45) ≈ €31k, across 3 co-ops and 2 exporters</w:t>
            </w:r>
          </w:p>
        </w:tc>
        <w:tc>
          <w:tcPr>
            <w:tcW w:w="172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≈US$33k ARR</w:t>
            </w:r>
          </w:p>
        </w:tc>
      </w:tr>
    </w:tbl>
    <w:p>
      <w:pPr>
        <w:spacing w:after="0" w:before="0" w:line="240" w:lineRule="auto"/>
        <w:rPr>
          <w:sz w:val="40"/>
        </w:rPr>
      </w:pP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5.3  Business model — commercial from day one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Farmers: free, forever.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Their participation is the network; charging them kills it.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Exporters: Rp 800k (≈ €45) per due-diligence dossier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or a flat coop-season license. Context: consultants run €800–1,500/day, enterprise SaaS €10k–50k/yr;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one compliant 19-tonne container carries ≈ US$950 of premium at +US$50/tonne.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12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We price at ≈5% of the value we unlock.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Cooperatives: Rp 25k (≈ €1.40) per member per season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the credential registry and Fairtrade/e-STDB exports — less than 1% of a certification’s per-farmer cost;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23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 member visit takes minutes, and one visit now serves EUDR, Fairtrade and e-STDB at once.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Later: verification API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EU importers and (per Ditjenbun’s invitation to third parties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24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paid e-STDB data-collection partnerships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feeding the National Dashboard.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35</w:t>
      </w: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Unit economics.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Marginal cost per verified plot ≈ $0.002 LLM + anchoring amortized to ≈$0.000001 in 1,000-plot batches + fractions of a cent of storage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9,31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under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$0.01 all-in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against €45-per-dossier revenue: software margins on infrastructure that incumbents deliver with field armies. Free tiers carry the pilot; the first paying exporter carries the company.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5.4  Scalability — one engine, many walls</w:t>
      </w:r>
    </w:p>
    <w:p>
      <w:pPr>
        <w:spacing w:after="8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pipeline —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map → verify → credential → anchor → dossier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— is commodity-agnostic and regulation-agnostic. The same engine serves cocoa, rubber and palm; the same passports satisfy Fairtrade’s 2027 geodata mandate,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34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feed e-STDB and the National Dashboard,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35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are ready for whatever follows EUDR (the UK and US have parallel bills in motion). Geographically, Vietnam alone has 60–65% of its coffee area still non-compliant;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12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architecture ports with a language file. Because passports are portable open credentials, every new buyer that accepts them makes every existing passport more valuable — adoption compounds.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5.5  Impact, measured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Economic: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keeping smallholders inside a corridor worth up to US$7 B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and capturing the +US$50/t compliance premium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12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at the farm gate rather than the trader’s margin.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Institutional: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every passport is e-STDB-ready data — accelerating the registration drive the government itself says it cannot staff.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24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Environmental: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EUDR’s promise only works if compliance is achievable; TandaTani makes deforestation-free farming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provable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so the market can reward it (SDGs 1, 8, 12, 13, 15).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Social: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first bankable, portable proof-of-practice a smallholder has ever owned — with women-led cooperatives like Ketiara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37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as first protagonists.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5.6  Risks, named — and answered</w:t>
      </w:r>
    </w:p>
    <w:tbl>
      <w:tblPr>
        <w:tblW w:w="8309" w:type="dxa"/>
        <w:tblInd w:w="72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620"/>
        <w:gridCol w:w="2140"/>
        <w:gridCol w:w="3549"/>
      </w:tblGrid>
      <w:tr>
        <w:trPr>
          <w:cantSplit w:val="1"/>
        </w:trPr>
        <w:tc>
          <w:tcPr>
            <w:tcW w:w="262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Risk</w:t>
            </w:r>
          </w:p>
        </w:tc>
        <w:tc>
          <w:tcPr>
            <w:tcW w:w="214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Reality check</w:t>
            </w:r>
          </w:p>
        </w:tc>
        <w:tc>
          <w:tcPr>
            <w:tcW w:w="3549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Mitigation built into the design</w:t>
            </w:r>
          </w:p>
        </w:tc>
      </w:tr>
      <w:tr>
        <w:trPr>
          <w:cantSplit w:val="1"/>
        </w:trPr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Farmer digital literacy (46.8% modern-tech adoption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26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)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Real, generational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Cooperative-officer-assisted capture; offline PWA; Bahasa-first; voice roadmap</w:t>
            </w:r>
          </w:p>
        </w:tc>
      </w:tr>
      <w:tr>
        <w:trPr>
          <w:cantSplit w:val="1"/>
        </w:trPr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EUDR slips a third time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Possible — it slipped twice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4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The 2024 delay itself triggered +72% buyer front-loading — buyers, not Brussels, now enforce;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28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 passports also serve Fairtrade Jan-2027, e-STDB and ISPO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24,34</w:t>
            </w:r>
          </w:p>
        </w:tc>
      </w:tr>
      <w:tr>
        <w:trPr>
          <w:cantSplit w:val="1"/>
        </w:trPr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GPS spoofing / claim fraud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Attempted everywhere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Satellite cross-check, PostGIS overlap detection, geotagged photos, cooperative attestation — convergence, not trust</w:t>
            </w:r>
          </w:p>
        </w:tc>
      </w:tr>
      <w:tr>
        <w:trPr>
          <w:cantSplit w:val="1"/>
        </w:trPr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Cooperative key loss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Operational hazard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Credential-status registry + re-issuance under a successor DID (did:key is single-keypair by design; roadmap: did:web for true rotation)</w:t>
            </w:r>
          </w:p>
        </w:tc>
      </w:tr>
      <w:tr>
        <w:trPr>
          <w:cantSplit w:val="1"/>
        </w:trPr>
        <w:tc>
          <w:tcPr>
            <w:tcW w:w="26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Incumbent copies the model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Koltiva has 1.9 M producers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30</w:t>
            </w:r>
          </w:p>
        </w:tc>
        <w:tc>
          <w:tcPr>
            <w:tcW w:w="354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Copying farmer-owned portability breaks their enterprise custody model — our wedge is their conflict</w:t>
            </w:r>
          </w:p>
        </w:tc>
      </w:tr>
    </w:tbl>
    <w:p>
      <w:pPr>
        <w:spacing w:after="0" w:before="0" w:line="240" w:lineRule="auto"/>
        <w:rPr>
          <w:sz w:val="40"/>
        </w:rPr>
      </w:pP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7xk9exqysd4v" w:id="5"/>
      <w:bookmarkEnd w:id="5"/>
      <w:r>
        <w:rPr>
          <w:rFonts w:ascii="Times New Roman" w:cs="Times New Roman" w:eastAsia="Times New Roman" w:hAnsi="Times New Roman"/>
          <w:rtl w:val="0"/>
        </w:rPr>
        <w:t xml:space="preserve">Tech Stack &amp; System Architecture</w:t>
      </w:r>
    </w:p>
    <w:p>
      <w:pPr>
        <w:spacing w:after="100" w:before="0" w:line="276" w:lineRule="auto"/>
        <w:ind w:left="72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One hybrid system, three planes: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Web2 core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speed and cost, a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Web3 trust plane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proof and portability, an </w:t>
      </w: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AI plane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for verification at smallholder prices. Every component is free-tier; the whole demo runs on public URLs.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6.1  Data flow (the numbered steps match the chips in Figure 1, next page)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Field capture, fully offline: GPS point/polygon, photos, farmer identity → IndexedDB queue.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Sync to the API (Next.js route handlers, Zod-validated); plots land in Postgres/PostGIS,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39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where the ST_Intersects gate blocks exact-duplicate claims outright and flags partial overlaps into the risk score.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AI engine gathers satellite evidence (Whisp primary; GFW independent track)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6,7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and Gemini writes the Bahasa verdict.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31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Cooperative reviews the AI-annotated queue in its Console.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Approved bundle → W3C Verifiable Credential 2.0, signed with the cooperative’s did:key (Ed25519).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8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Bundle hashes batch into a Merkle tree — thousands of plots, one 32-byte root.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The root is anchored by TandaRegistry.sol on Polygon; the event is public forever.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9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Exporter composes verified passports → TRACES GeoJSON + evidence-PDF dossier.</w:t>
      </w:r>
      <w:r>
        <w:rPr>
          <w:rFonts w:ascii="Times New Roman" w:cs="Times New Roman" w:eastAsia="Times New Roman" w:hAnsi="Times New Roman"/>
          <w:sz w:val="21"/>
          <w:szCs w:val="21"/>
          <w:vertAlign w:val="superscript"/>
          <w:rtl w:val="0"/>
        </w:rPr>
        <w:t xml:space="preserve">10</w:t>
      </w:r>
    </w:p>
    <w:p>
      <w:pPr>
        <w:spacing w:after="46" w:before="0" w:line="276" w:lineRule="auto"/>
        <w:ind w:left="1080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>
        <w:rPr>
          <w:rFonts w:ascii="Times New Roman" w:cs="Times New Roman" w:eastAsia="Times New Roman" w:hAnsi="Times New Roman"/>
          <w:sz w:val="21"/>
          <w:szCs w:val="21"/>
          <w:b w:val="1"/>
          <w:rtl w:val="0"/>
        </w:rPr>
        <w:t xml:space="preserve">9.</w:t>
      </w:r>
      <w:r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 Anyone scans the QR: the browser re-computes the hash and checks VC signature + Merkle proof against the chain.</w:t>
      </w:r>
    </w:p>
    <w:p>
      <w:pPr>
        <w:spacing w:after="0"/>
      </w:pPr>
      <w:r>
        <w:br w:type="page"/>
      </w:r>
    </w:p>
    <w:p>
      <w:pPr>
        <w:spacing w:after="120" w:before="60" w:line="240" w:lineRule="auto"/>
        <w:ind w:left="800" w:firstLine="0"/>
        <w:jc w:val="center"/>
      </w:pPr>
      <w:r>
        <w:rPr/>
        <w:drawing>
          <wp:inline distT="0" distB="0" distL="0" distR="0">
            <wp:extent cx="4718050" cy="7608347"/>
            <wp:effectExtent b="0" l="0" r="0" t="0"/>
            <wp:docPr id="9001" name="image_akar_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image_akar_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76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left="720" w:firstLine="0"/>
        <w:jc w:val="center"/>
        <w:rPr>
          <w:rFonts w:ascii="Times New Roman" w:cs="Times New Roman" w:eastAsia="Times New Roman" w:hAnsi="Times New Roman"/>
          <w:sz w:val="18"/>
          <w:szCs w:val="18"/>
          <w:color w:val="666666"/>
        </w:rPr>
      </w:pPr>
      <w:r>
        <w:rPr>
          <w:rFonts w:ascii="Times New Roman" w:cs="Times New Roman" w:eastAsia="Times New Roman" w:hAnsi="Times New Roman"/>
          <w:sz w:val="18"/>
          <w:szCs w:val="18"/>
          <w:color w:val="666666"/>
          <w:rtl w:val="0"/>
        </w:rPr>
        <w:t xml:space="preserve">Figure 1 — TandaTani system architecture and data flow (rotate to read). Numbered chips on the arrows match the data-flow steps in §6.1.</w:t>
      </w:r>
    </w:p>
    <w:p>
      <w:pPr>
        <w:spacing w:after="0" w:before="0" w:line="240" w:lineRule="auto"/>
        <w:rPr>
          <w:sz w:val="40"/>
        </w:rPr>
      </w:pP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6.2  Technology choices — and why each earns its place</w:t>
      </w:r>
    </w:p>
    <w:tbl>
      <w:tblPr>
        <w:tblW w:w="8309" w:type="dxa"/>
        <w:tblInd w:w="72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50"/>
        <w:gridCol w:w="3700"/>
        <w:gridCol w:w="3459"/>
      </w:tblGrid>
      <w:tr>
        <w:trPr>
          <w:cantSplit w:val="1"/>
        </w:trPr>
        <w:tc>
          <w:tcPr>
            <w:tcW w:w="115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Layer</w:t>
            </w:r>
          </w:p>
        </w:tc>
        <w:tc>
          <w:tcPr>
            <w:tcW w:w="3700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Technology</w:t>
            </w:r>
          </w:p>
        </w:tc>
        <w:tc>
          <w:tcPr>
            <w:tcW w:w="3459" w:type="dxa"/>
            <w:shd w:fill="a7eae8" w:val="clear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sz w:val="17"/>
                <w:szCs w:val="17"/>
                <w:b w:val="1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b w:val="1"/>
                <w:rtl w:val="0"/>
              </w:rPr>
              <w:t xml:space="preserve">Why this, for this build</w:t>
            </w:r>
          </w:p>
        </w:tc>
      </w:tr>
      <w:tr>
        <w:trPr>
          <w:cantSplit w:val="1"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Frontend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Next.js 15 PWA · TypeScript · Tailwind · MapLibre GL + Esri World Imagery · Dexie (IndexedDB)</w:t>
            </w:r>
          </w:p>
        </w:tc>
        <w:tc>
          <w:tcPr>
            <w:tcW w:w="34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One codebase, four roles; installable on low-end Android; offline by architecture, not afterthought</w:t>
            </w:r>
          </w:p>
        </w:tc>
      </w:tr>
      <w:tr>
        <w:trPr>
          <w:cantSplit w:val="1"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Backend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Next.js route handlers on Vercel · Supabase: Postgres + PostGIS, Auth, Storage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39</w:t>
            </w:r>
          </w:p>
        </w:tc>
        <w:tc>
          <w:tcPr>
            <w:tcW w:w="34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Zero-ops free tiers; geometry fraud checks are one SQL clause</w:t>
            </w:r>
          </w:p>
        </w:tc>
      </w:tr>
      <w:tr>
        <w:trPr>
          <w:cantSplit w:val="1"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AI / EO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FAO Whisp API · Global Forest Watch Data API · Gemini 2.5 Flash, Groq/Llama fallback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6,7,31</w:t>
            </w:r>
          </w:p>
        </w:tc>
        <w:tc>
          <w:tcPr>
            <w:tcW w:w="34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Official, free, EUDR-aligned convergence of evidence; Bahasa officially supported</w:t>
            </w:r>
          </w:p>
        </w:tc>
      </w:tr>
      <w:tr>
        <w:trPr>
          <w:cantSplit w:val="1"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Web3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Solidity (Foundry) on Polygon PoS/Amoy · viem · @digitalbazaar/vc + did:key (Ed25519) · SIWE · OpenZeppelin Merkle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  <w:vertAlign w:val="superscript"/>
                <w:rtl w:val="0"/>
              </w:rPr>
              <w:t xml:space="preserve">8,9</w:t>
            </w:r>
          </w:p>
        </w:tc>
        <w:tc>
          <w:tcPr>
            <w:tcW w:w="34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Sub-cent anchoring; W3C-standard credentials (Recommendation, May 2025); wallets only where users are companies</w:t>
            </w:r>
          </w:p>
        </w:tc>
      </w:tr>
      <w:tr>
        <w:trPr>
          <w:cantSplit w:val="1"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Delivery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GitHub Actions CI · Vercel previews · public demo URL + Amoy explorer links</w:t>
            </w:r>
          </w:p>
        </w:tc>
        <w:tc>
          <w:tcPr>
            <w:tcW w:w="34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Live public deployment for the pitch — judged explicitly above localhost</w:t>
            </w:r>
          </w:p>
        </w:tc>
      </w:tr>
    </w:tbl>
    <w:p>
      <w:pPr>
        <w:spacing w:after="0" w:before="0" w:line="240" w:lineRule="auto"/>
        <w:rPr>
          <w:sz w:val="40"/>
        </w:rPr>
      </w:pP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6.3  The on-chain / off-chain boundary (privacy by architecture)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On-chain: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32-byte Merkle roots and batch URIs — nothing else. ≈ $0.001 per thousand plots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9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: the whole Gayo highlands could be anchored for the price of one cup of its own coffee.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Off-chain: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coordinates, identities, photos — Postgres under row-level security, disclosed only inside the exporter’s DDS as EUDR requires.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Salted hashing defeats rainbow-matching of known plots.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Keys: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cooperatives hold did:key signing keys; exporters authenticate by wallet (SIWE); a relayer pays gas so farmers never see crypto.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b w:val="1"/>
          <w:rtl w:val="0"/>
        </w:rPr>
        <w:t xml:space="preserve">Privacy law, named.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Indonesia’s PDP Law (UU 27/2022) and the GDPR shape the design: consent captured at enrollment (the cooperative as data controller, TandaTani as processor), coordinates under row-level security and disclosed only inside the DDS, credential copies on the farmer’s device and printable QR card — and, because the chain holds only salted hashes, destroying a record’s salt is a clean erasure path. The public QR page shows a verdict, never coordinates or identities.</w:t>
      </w:r>
    </w:p>
    <w:p>
      <w:pPr>
        <w:keepNext w:val="1"/>
        <w:spacing w:after="80" w:before="160" w:line="240" w:lineRule="auto"/>
        <w:ind w:left="720" w:firstLine="0"/>
        <w:rPr>
          <w:rFonts w:ascii="Times New Roman" w:cs="Times New Roman" w:eastAsia="Times New Roman" w:hAnsi="Times New Roman"/>
          <w:b w:val="1"/>
          <w:sz w:val="23"/>
          <w:szCs w:val="23"/>
          <w:color w:val="1F3864"/>
        </w:rPr>
      </w:pPr>
      <w:r>
        <w:rPr>
          <w:rFonts w:ascii="Times New Roman" w:cs="Times New Roman" w:eastAsia="Times New Roman" w:hAnsi="Times New Roman"/>
          <w:b w:val="1"/>
          <w:sz w:val="23"/>
          <w:szCs w:val="23"/>
          <w:color w:val="1F3864"/>
          <w:rtl w:val="0"/>
        </w:rPr>
        <w:t xml:space="preserve">6.4  Engineering honesty — failure modes we designed for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Whisp jobs are asynchronous (Earth-Engine-backed): we submit early, poll, and keep GFW as an independent evidence track — either alone yields a verdict.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6,7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Background Sync API is Chromium-only, so the offline queue flushes on the browser’s online event — works everywhere modern; demoed on Android Chrome.</w:t>
      </w:r>
    </w:p>
    <w:p>
      <w:pPr>
        <w:numPr>
          <w:ilvl w:val="0"/>
          <w:numId w:val="50"/>
        </w:numPr>
        <w:spacing w:after="6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Free-tier LLM limits (Gemini: 250 requests/day</w:t>
      </w:r>
      <w:r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31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) comfortably exceed rehearsal-measured demo load; Groq is wired behind the same interface.</w:t>
      </w:r>
    </w:p>
    <w:p>
      <w:pPr>
        <w:numPr>
          <w:ilvl w:val="0"/>
          <w:numId w:val="50"/>
        </w:numPr>
        <w:spacing w:after="120" w:before="0" w:line="276" w:lineRule="auto"/>
        <w:ind w:left="1080" w:hanging="216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If venue Wi-Fi dies mid-pitch, the offline-first design </w:t>
      </w:r>
      <w:r>
        <w:rPr>
          <w:rFonts w:ascii="Times New Roman" w:cs="Times New Roman" w:eastAsia="Times New Roman" w:hAnsi="Times New Roman"/>
          <w:sz w:val="22"/>
          <w:szCs w:val="22"/>
          <w:i w:val="1"/>
          <w:rtl w:val="0"/>
        </w:rPr>
        <w:t xml:space="preserve">is</w:t>
      </w:r>
      <w:r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the contingency: capture continues, and we sync over any hotspot.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>
        <w:rPr>
          <w:rtl w:val="0"/>
        </w:rPr>
      </w:r>
    </w:p>
    <w:p>
      <w:pPr>
        <w:keepNext w:val="1"/>
        <w:spacing w:after="80" w:before="240" w:line="240" w:lineRule="auto"/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  <w:color w:val="044064"/>
        </w:rPr>
      </w:pPr>
      <w:r>
        <w:rPr>
          <w:rFonts w:ascii="Times New Roman" w:cs="Times New Roman" w:eastAsia="Times New Roman" w:hAnsi="Times New Roman"/>
          <w:b w:val="1"/>
          <w:sz w:val="24"/>
          <w:szCs w:val="24"/>
          <w:color w:val="044064"/>
          <w:rtl w:val="0"/>
        </w:rPr>
        <w:t xml:space="preserve">References</w:t>
      </w:r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[1]  FFTC Agricultural Policy Platform (Ditjenbun 2022 data): 1,250,452 ha; 1,634,914 coffee households; 98.14% smallholder area  </w:t>
      </w:r>
      <w:hyperlink r:id="rIdX1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https://ap.fftc.org.tw/article/3465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[2]  PwC Indonesia (CMEA estimate): EUDR can affect up to US$7B of Indonesian exports (CPO-to-EU ≈US$3.5B/yr, rubber ≈US$1B, furniture ≈US$0.6B)  </w:t>
      </w:r>
      <w:hyperlink r:id="rIdX2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https://www.pwc.com/id/en/pwc-publications/industries-publications/consumer-and-industrial-products-and-services/plantation-highlights/july-2023/eu-deforestation-free-regulation-can-hinder-indonesias-exports.html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[3]  Regulation (EU) 2023/1115 on deforestation-free products (EUDR) — EUR-Lex  </w:t>
      </w:r>
      <w:hyperlink r:id="rIdX3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https://eur-lex.europa.eu/eli/reg/2023/1115/oj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[4]  European Commission, Access2Markets: “Delay until December 2026 … implementation of the EUDR” (amended by Regulation (EU) 2025/2650)  </w:t>
      </w:r>
      <w:hyperlink r:id="rIdX4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https://trade.ec.europa.eu/access-to-markets/en/news/delay-until-december-2026-and-other-developments-implementation-eudr-regulation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[5]  S. Afra (Satya Bumi), The Jakarta Post: “Addressing gaps in Indonesia’s national commodity dashboard and EUDR” (Sept 2024) — e-STDB coverage: palm 1.07%, rubber 0.03%, coffee 0.03%, cocoa 0.00%  </w:t>
      </w:r>
      <w:hyperlink r:id="rIdX5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https://www.thejakartapost.com/opinion/2024/09/03/addressing-gaps-in-indonesias-national-commodity-dashboard-and-eudr.html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[6]  FAO / Forest Data Partnership: Whisp (“what is in that plot”) — free, open-source convergence-of-evidence deforestation-risk API  </w:t>
      </w:r>
      <w:hyperlink r:id="rIdX6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https://www.fao.org/in-action/forest-data-partnership/news-and-events/news/news-detail/supporting-eudr-compliance-with-whisp/en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[7]  Global Forest Watch (Global Nature Watch) Data API — free key; GLAD/RADD alerts, JRC Global Forest Cover 2020  </w:t>
      </w:r>
      <w:hyperlink r:id="rIdX7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https://data-api.globalforestwatch.org/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[8]  W3C Verifiable Credentials Data Model 2.0 — W3C Recommendation, 15 May 2025  </w:t>
      </w:r>
      <w:hyperlink r:id="rIdX8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https://www.w3.org/TR/vc-data-model-2.0/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[9]  Polygonscan gas tracker: a 32-byte root anchor ≈ 45k gas ≈ US$0.001 — batches of thousands of plots per anchor  </w:t>
      </w:r>
      <w:hyperlink r:id="rIdX9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https://polygonscan.com/gastracker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[10]  European Commission / EUDR geolocation rules — GeoJSON specification for TRACES (point ≤ 4 ha, polygon &gt; 4 ha, WGS-84, 6-decimal precision)  </w:t>
      </w:r>
      <w:hyperlink r:id="rIdX10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https://green-business.ec.europa.eu/deforestation-regulation-implementation_en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[11]  TracePlot: “EUDR compliance costs for SMEs” — consultants €800–1,500/day; enterprise platforms €10k–50k+/yr plus €5k–90k setup; SME first year ≈ €4–5k  </w:t>
      </w:r>
      <w:hyperlink r:id="rIdX11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https://www.traceplot.com/blog/eudr-compliance-costs-sme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[12]  Việt Nam News: EUDR-compliant robusta commands ≈ +US$50/tonne; only 35–40% of Vietnam’s coffee area compliant (2026)  </w:t>
      </w:r>
      <w:hyperlink r:id="rIdX12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https://vietnamnews.vn/economy/1797956/deep-processing-eu-deforestation-regulation-compliance-to-drive-viet-nam-coffee-exports-in-h2.html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[13]  Preferred by Nature: “European Commission publishes first list of Country Benchmarks under the EUDR” (May 2025) — Indonesia: standard risk  </w:t>
      </w:r>
      <w:hyperlink r:id="rIdX13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https://www.preferredbynature.org/news/european-commission-publishes-first-list-country-benchmarks-under-eu-deforestation-regulation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[14]  Fauzi (CIPS) &amp; Mugume, Southern Voice: “Potential Impacts of EU Deforestation Regulation on Smallholder Coffee Farmers: Evidence from Indonesia and Uganda” (May 2025)  </w:t>
      </w:r>
      <w:hyperlink r:id="rIdX14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http://southernvoice.org/wp-content/uploads/2025/05/Smallholders-Farm-EUDRC-Article-YTT-GSP-Fauzi-Mugume-2025.pdf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[15]  Indonesia Investments (BPS data): coffee production 813,345 t (2024); world No. 4 producer  </w:t>
      </w:r>
      <w:hyperlink r:id="rIdX15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https://www.indonesia-investments.com/business/commodities/coffee/item186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[16]  Databoks/Katadata: smallholder palm plantations = 40.6% of Indonesia’s total  </w:t>
      </w:r>
      <w:hyperlink r:id="rIdX16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https://databoks.katadata.co.id/en/agroindustry/statistics/5327e23d2c4834f/smallholder-palm-oil-plantations-account-for-406-of-indonesias-total-palm-oil-plantations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[17]  EFI Terpercaya brief: “Smallholder registration (STDB) — challenges and strategies for acceleration” (2023) — 15,054 e-STDB issued vs ≈2.4M oil-palm households  </w:t>
      </w:r>
      <w:hyperlink r:id="rIdX17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https://jaresourcehub.org/publications/smallholder-registration-std-b-challenges-and-strategies-for-acceleration/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[18]  Indonesia Investments: Cocoa — 99.8% smallholder production; 617,112 t (2024)  </w:t>
      </w:r>
      <w:hyperlink r:id="rIdX18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https://www.indonesia-investments.com/business/commodities/cocoa/item241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[19]  Statista / FAO: Indonesian rubber — ≈85% of planted area, ≈91% of production from ≈2.1M smallholder households  </w:t>
      </w:r>
      <w:hyperlink r:id="rIdX19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https://www.statista.com/statistics/1241006/indonesia-rubber-planted-area-by-type-of-ownership/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[20]  KOLTIVA / AgNavigator: “Only 1% certified: tackling barriers to EUDR compliance for Indonesian smallholders” (Aug 2025)  </w:t>
      </w:r>
      <w:hyperlink r:id="rIdX20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https://www.agnavigator.com/Article/2025/08/11/tackling-barriers-to-eudr-compliance-for-indonesian-smallholders/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[21]  Nofialdi (Andalas Univ.), ANTARA Sumbar: “Kopi Parak dan Koordinat Yang Hilang” (Aug 2026) — West Sumatran parak agroforestry coffee: “no polygons, not recorded in any database”  </w:t>
      </w:r>
      <w:hyperlink r:id="rIdX21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https://sumbar.antaranews.com/berita/776192/kopi-parak-dan-koordinat-yang-hilang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[22]  Gemarnews: Koperasi Kopi Gayo Lues Bersinar verifying and mapping every member plot by hand for EU rules (Aug 2026)  </w:t>
      </w:r>
      <w:hyperlink r:id="rIdX22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https://www.gemarnews.com/2026/08/ekspor-ke-uni-eropa-makin-ketat.html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[23]  Hidayat et al., IFAMR 21(6): RSPO certification of independent smallholders — €86/ha upfront; −8% net income in year 1; IOP ERL (2024): €191–751 per farmer  </w:t>
      </w:r>
      <w:hyperlink r:id="rIdX23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https://iopscience.iop.org/article/10.1088/1748-9326/ad8367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[24]  Tempo English: Ditjenbun opens e-STDB mapping/data collection to third parties to accelerate issuance (Aug 2026)  </w:t>
      </w:r>
      <w:hyperlink r:id="rIdX24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https://en.tempo.co/read/2116908/how-indonesian-coffee-farmers-and-exporters-face-eudr-rules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[25]  Mongabay: “Indonesia raises concerns over EU deforestation law’s impact on smallholders” (Apr 2025) — Deputy FM Arief Havas Oegroseno  </w:t>
      </w:r>
      <w:hyperlink r:id="rIdX25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https://news.mongabay.com/2025/04/indonesia-raises-concerns-over-eu-deforestation-laws-impact-on-smallholders/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[26]  ANTARA (BPS Agricultural Census 2023): 28.19M farmers; 46.84% use modern/digital technology  </w:t>
      </w:r>
      <w:hyperlink r:id="rIdX26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https://www.antaranews.com/berita/3854265/bps-4684-persen-petani-pakai-alsintan-modern-dan-teknologi-digital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[27]  Thomsen &amp; Nepstad, Mongabay commentary (Feb 2026): EUDR physical segregation adds up to +25% transport/storage; two-tier market dynamics  </w:t>
      </w:r>
      <w:hyperlink r:id="rIdX27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https://news.mongabay.com/2026/02/the-cost-of-compliance-with-the-eudr-will-limit-its-impact-on-reducing-deforestation-commentary/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[28]  USDA FAS GAIN, Coffee Annual — Jakarta ID2026-0021 (May 2026): 98% smallholder area; EU-bound shipments +72% to 2.4M bags on EUDR preparedness  </w:t>
      </w:r>
      <w:hyperlink r:id="rIdX28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https://www.fas.usda.gov/data/gain-report/2026/05/Coffee%20Annual_Jakarta_Indonesia_ID2026-0021.pdf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[29]  Euronews: EU and Indonesia conclude CEPA free-trade agreement (Sept 23, 2025); EU–Indonesia trade €28.9B (2025)  </w:t>
      </w:r>
      <w:hyperlink r:id="rIdX29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https://www.euronews.com/business/2025/09/23/european-commission-concludes-free-trade-deal-with-indonesia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[30]  Koltiva — KoltiTrace EUDR suite (enterprise agritech, 1.9M producers registered)  </w:t>
      </w:r>
      <w:hyperlink r:id="rIdX30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https://www.koltiva.com/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[31]  Google AI for Developers: Gemini API free tier — 2.5 Flash 250 req/day, Flash-Lite 1,000 req/day; Indonesian officially supported  </w:t>
      </w:r>
      <w:hyperlink r:id="rIdX31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https://ai.google.dev/gemini-api/docs/pricing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[32]  Dimitra × PT Surveyor Indonesia: blockchain + satellite EUDR services, fees tied to the DMTR token (2025–26)  </w:t>
      </w:r>
      <w:hyperlink r:id="rIdX32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https://blockchain.news/flashnews/dimitra-dmtr-and-surveyor-indonesia-aim-to-onboard-3m-farmers-for-eudr-compliance-using-blockchain-and-satellite-tech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[33]  Fairfood “Trace” — open-source, Hedera-anchored transparency platform (premium storytelling focus)  </w:t>
      </w:r>
      <w:hyperlink r:id="rIdX33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https://fairfood.org/solutions-for-a-fair-supply-chain/blockchain-tool-trace/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[34]  Fairtrade International: geolocation-data deadline for certified co-ops extended to January 2027  </w:t>
      </w:r>
      <w:hyperlink r:id="rIdX34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https://www.fairtrade.net/en/fairtrade-extends-timeline-for-cooperatives-to-complete-geolocation-data-collection.html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[35]  Mongabay: Indonesia’s National Dashboard of Sustainable Commodities (CMEA-led, blockchain-based) as verification &amp; integration layer (Apr 2025)  </w:t>
      </w:r>
      <w:hyperlink r:id="rIdX35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https://news.mongabay.com/2025/04/indonesia-strengthens-forest-monitoring-with-new-tool-to-meet-eu-deforestation-law/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[36]  GPS.gov: smartphone GPS accuracy ≤ 4.9 m under open sky  </w:t>
      </w:r>
      <w:hyperlink r:id="rIdX36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https://www.gps.gov/systems/gps/performance/accuracy/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[37]  Atlas Coffee Importers: Kopepi Ketiara — women-led Gayo cooperative, 2,000+ members; Fairtrade geolocation deadline Jan 2027  </w:t>
      </w:r>
      <w:hyperlink r:id="rIdX37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https://www.atlascoffee.com/coffees/ketiara-cooperative/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[38]  Future Market Insights: EUDR commodity due-diligence software market ≈ US$1.1B (2026) → US$1.8B (2036)  </w:t>
      </w:r>
      <w:hyperlink r:id="rIdX38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https://www.futuremarketinsights.com/reports/eudr-commodity-due-diligence-software-market</w:t>
        </w:r>
      </w:hyperlink>
    </w:p>
    <w:p>
      <w:pPr>
        <w:spacing w:after="36" w:before="0" w:line="240" w:lineRule="auto"/>
        <w:ind w:left="1080" w:hanging="360"/>
        <w:rPr>
          <w:rFonts w:ascii="Times New Roman" w:cs="Times New Roman" w:eastAsia="Times New Roman" w:hAnsi="Times New Roman"/>
          <w:sz w:val="17"/>
          <w:szCs w:val="17"/>
          <w:color w:val="374151"/>
        </w:rPr>
      </w:pPr>
      <w:r>
        <w:rPr>
          <w:rFonts w:ascii="Times New Roman" w:cs="Times New Roman" w:eastAsia="Times New Roman" w:hAnsi="Times New Roman"/>
          <w:sz w:val="17"/>
          <w:szCs w:val="17"/>
          <w:color w:val="374151"/>
          <w:rtl w:val="0"/>
        </w:rPr>
        <w:t xml:space="preserve">[39]  Supabase free plan: 500 MB Postgres (PostGIS available), Auth, 1 GB storage  </w:t>
      </w:r>
      <w:hyperlink r:id="rIdX39">
        <w:r>
          <w:rPr>
            <w:rFonts w:ascii="Times New Roman" w:cs="Times New Roman" w:eastAsia="Times New Roman" w:hAnsi="Times New Roman"/>
            <w:color w:val="1155CC"/>
            <w:u w:val="single"/>
            <w:sz w:val="17"/>
            <w:szCs w:val="17"/>
            <w:color w:val="374151"/>
            <w:rtl w:val="0"/>
          </w:rPr>
          <w:t xml:space="preserve">https://supabase.com/pricing</w:t>
        </w:r>
      </w:hyperlink>
    </w:p>
    <w:sectPr>
      <w:headerReference r:id="rId6" w:type="default"/>
      <w:footerReference r:id="rId7" w:type="default"/>
      <w:pgSz w:h="16834" w:w="11909" w:orient="portrait"/>
      <w:pgMar w:gutter="0"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-971547</wp:posOffset>
          </wp:positionH>
          <wp:positionV relativeFrom="paragraph">
            <wp:posOffset>95251</wp:posOffset>
          </wp:positionV>
          <wp:extent cx="7658100" cy="58102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58100" cy="5810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/>
      <w:pict>
        <v:shape id="WordPictureWatermark1" stroked="f" filled="f" style="position:absolute;width:451.3pt;height:335.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-307387</wp:posOffset>
          </wp:positionV>
          <wp:extent cx="7610475" cy="51693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0475" cy="5169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▪"/>
      <w:lvlJc w:val="left"/>
      <w:pPr>
        <w:ind w:left="1080" w:hanging="216"/>
      </w:pPr>
      <w:rPr>
        <w:rFonts w:ascii="Arial" w:hAnsi="Arial"/>
        <w:sz w:val="18"/>
        <w:color w:val="1F3864"/>
      </w:rPr>
    </w:lvl>
    <w:lvl w:ilvl="1">
      <w:start w:val="1"/>
      <w:numFmt w:val="bullet"/>
      <w:lvlText w:val="◦"/>
      <w:lvlJc w:val="left"/>
      <w:pPr>
        <w:ind w:left="1440" w:hanging="216"/>
      </w:pPr>
      <w:rPr>
        <w:rFonts w:ascii="Arial" w:hAnsi="Arial"/>
        <w:sz w:val="18"/>
        <w:color w:val="1F3864"/>
      </w:rPr>
    </w:lvl>
    <w:lvl w:ilvl="2">
      <w:start w:val="1"/>
      <w:numFmt w:val="bullet"/>
      <w:lvlText w:val="–"/>
      <w:lvlJc w:val="left"/>
      <w:pPr>
        <w:ind w:left="1800" w:hanging="216"/>
      </w:pPr>
      <w:rPr>
        <w:rFonts w:ascii="Arial" w:hAnsi="Arial"/>
        <w:sz w:val="18"/>
        <w:color w:val="1F3864"/>
      </w:rPr>
    </w:lvl>
  </w:abstractNum>
  <w:num w:numId="1">
    <w:abstractNumId w:val="1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X1" Type="http://schemas.openxmlformats.org/officeDocument/2006/relationships/hyperlink" Target="https://ap.fftc.org.tw/article/3465" TargetMode="External"/><Relationship Id="rIdX2" Type="http://schemas.openxmlformats.org/officeDocument/2006/relationships/hyperlink" Target="https://www.pwc.com/id/en/pwc-publications/industries-publications/consumer-and-industrial-products-and-services/plantation-highlights/july-2023/eu-deforestation-free-regulation-can-hinder-indonesias-exports.html" TargetMode="External"/><Relationship Id="rIdX3" Type="http://schemas.openxmlformats.org/officeDocument/2006/relationships/hyperlink" Target="https://eur-lex.europa.eu/eli/reg/2023/1115/oj" TargetMode="External"/><Relationship Id="rIdX4" Type="http://schemas.openxmlformats.org/officeDocument/2006/relationships/hyperlink" Target="https://trade.ec.europa.eu/access-to-markets/en/news/delay-until-december-2026-and-other-developments-implementation-eudr-regulation" TargetMode="External"/><Relationship Id="rIdX5" Type="http://schemas.openxmlformats.org/officeDocument/2006/relationships/hyperlink" Target="https://www.thejakartapost.com/opinion/2024/09/03/addressing-gaps-in-indonesias-national-commodity-dashboard-and-eudr.html" TargetMode="External"/><Relationship Id="rIdX6" Type="http://schemas.openxmlformats.org/officeDocument/2006/relationships/hyperlink" Target="https://www.fao.org/in-action/forest-data-partnership/news-and-events/news/news-detail/supporting-eudr-compliance-with-whisp/en" TargetMode="External"/><Relationship Id="rIdX7" Type="http://schemas.openxmlformats.org/officeDocument/2006/relationships/hyperlink" Target="https://data-api.globalforestwatch.org/" TargetMode="External"/><Relationship Id="rIdX8" Type="http://schemas.openxmlformats.org/officeDocument/2006/relationships/hyperlink" Target="https://www.w3.org/TR/vc-data-model-2.0/" TargetMode="External"/><Relationship Id="rIdX9" Type="http://schemas.openxmlformats.org/officeDocument/2006/relationships/hyperlink" Target="https://polygonscan.com/gastracker" TargetMode="External"/><Relationship Id="rIdX10" Type="http://schemas.openxmlformats.org/officeDocument/2006/relationships/hyperlink" Target="https://green-business.ec.europa.eu/deforestation-regulation-implementation_en" TargetMode="External"/><Relationship Id="rIdX11" Type="http://schemas.openxmlformats.org/officeDocument/2006/relationships/hyperlink" Target="https://www.traceplot.com/blog/eudr-compliance-costs-sme" TargetMode="External"/><Relationship Id="rIdX12" Type="http://schemas.openxmlformats.org/officeDocument/2006/relationships/hyperlink" Target="https://vietnamnews.vn/economy/1797956/deep-processing-eu-deforestation-regulation-compliance-to-drive-viet-nam-coffee-exports-in-h2.html" TargetMode="External"/><Relationship Id="rIdX13" Type="http://schemas.openxmlformats.org/officeDocument/2006/relationships/hyperlink" Target="https://www.preferredbynature.org/news/european-commission-publishes-first-list-country-benchmarks-under-eu-deforestation-regulation" TargetMode="External"/><Relationship Id="rIdX14" Type="http://schemas.openxmlformats.org/officeDocument/2006/relationships/hyperlink" Target="http://southernvoice.org/wp-content/uploads/2025/05/Smallholders-Farm-EUDRC-Article-YTT-GSP-Fauzi-Mugume-2025.pdf" TargetMode="External"/><Relationship Id="rIdX15" Type="http://schemas.openxmlformats.org/officeDocument/2006/relationships/hyperlink" Target="https://www.indonesia-investments.com/business/commodities/coffee/item186" TargetMode="External"/><Relationship Id="rIdX16" Type="http://schemas.openxmlformats.org/officeDocument/2006/relationships/hyperlink" Target="https://databoks.katadata.co.id/en/agroindustry/statistics/5327e23d2c4834f/smallholder-palm-oil-plantations-account-for-406-of-indonesias-total-palm-oil-plantations" TargetMode="External"/><Relationship Id="rIdX17" Type="http://schemas.openxmlformats.org/officeDocument/2006/relationships/hyperlink" Target="https://jaresourcehub.org/publications/smallholder-registration-std-b-challenges-and-strategies-for-acceleration/" TargetMode="External"/><Relationship Id="rIdX18" Type="http://schemas.openxmlformats.org/officeDocument/2006/relationships/hyperlink" Target="https://www.indonesia-investments.com/business/commodities/cocoa/item241" TargetMode="External"/><Relationship Id="rIdX19" Type="http://schemas.openxmlformats.org/officeDocument/2006/relationships/hyperlink" Target="https://www.statista.com/statistics/1241006/indonesia-rubber-planted-area-by-type-of-ownership/" TargetMode="External"/><Relationship Id="rIdX20" Type="http://schemas.openxmlformats.org/officeDocument/2006/relationships/hyperlink" Target="https://www.agnavigator.com/Article/2025/08/11/tackling-barriers-to-eudr-compliance-for-indonesian-smallholders/" TargetMode="External"/><Relationship Id="rIdX21" Type="http://schemas.openxmlformats.org/officeDocument/2006/relationships/hyperlink" Target="https://sumbar.antaranews.com/berita/776192/kopi-parak-dan-koordinat-yang-hilang" TargetMode="External"/><Relationship Id="rIdX22" Type="http://schemas.openxmlformats.org/officeDocument/2006/relationships/hyperlink" Target="https://www.gemarnews.com/2026/08/ekspor-ke-uni-eropa-makin-ketat.html" TargetMode="External"/><Relationship Id="rIdX23" Type="http://schemas.openxmlformats.org/officeDocument/2006/relationships/hyperlink" Target="https://iopscience.iop.org/article/10.1088/1748-9326/ad8367" TargetMode="External"/><Relationship Id="rIdX24" Type="http://schemas.openxmlformats.org/officeDocument/2006/relationships/hyperlink" Target="https://en.tempo.co/read/2116908/how-indonesian-coffee-farmers-and-exporters-face-eudr-rules" TargetMode="External"/><Relationship Id="rIdX25" Type="http://schemas.openxmlformats.org/officeDocument/2006/relationships/hyperlink" Target="https://news.mongabay.com/2025/04/indonesia-raises-concerns-over-eu-deforestation-laws-impact-on-smallholders/" TargetMode="External"/><Relationship Id="rIdX26" Type="http://schemas.openxmlformats.org/officeDocument/2006/relationships/hyperlink" Target="https://www.antaranews.com/berita/3854265/bps-4684-persen-petani-pakai-alsintan-modern-dan-teknologi-digital" TargetMode="External"/><Relationship Id="rIdX27" Type="http://schemas.openxmlformats.org/officeDocument/2006/relationships/hyperlink" Target="https://news.mongabay.com/2026/02/the-cost-of-compliance-with-the-eudr-will-limit-its-impact-on-reducing-deforestation-commentary/" TargetMode="External"/><Relationship Id="rIdX28" Type="http://schemas.openxmlformats.org/officeDocument/2006/relationships/hyperlink" Target="https://www.fas.usda.gov/data/gain-report/2026/05/Coffee%20Annual_Jakarta_Indonesia_ID2026-0021.pdf" TargetMode="External"/><Relationship Id="rIdX29" Type="http://schemas.openxmlformats.org/officeDocument/2006/relationships/hyperlink" Target="https://www.euronews.com/business/2025/09/23/european-commission-concludes-free-trade-deal-with-indonesia" TargetMode="External"/><Relationship Id="rIdX30" Type="http://schemas.openxmlformats.org/officeDocument/2006/relationships/hyperlink" Target="https://www.koltiva.com/" TargetMode="External"/><Relationship Id="rIdX31" Type="http://schemas.openxmlformats.org/officeDocument/2006/relationships/hyperlink" Target="https://ai.google.dev/gemini-api/docs/pricing" TargetMode="External"/><Relationship Id="rIdX32" Type="http://schemas.openxmlformats.org/officeDocument/2006/relationships/hyperlink" Target="https://blockchain.news/flashnews/dimitra-dmtr-and-surveyor-indonesia-aim-to-onboard-3m-farmers-for-eudr-compliance-using-blockchain-and-satellite-tech" TargetMode="External"/><Relationship Id="rIdX33" Type="http://schemas.openxmlformats.org/officeDocument/2006/relationships/hyperlink" Target="https://fairfood.org/solutions-for-a-fair-supply-chain/blockchain-tool-trace/" TargetMode="External"/><Relationship Id="rIdX34" Type="http://schemas.openxmlformats.org/officeDocument/2006/relationships/hyperlink" Target="https://www.fairtrade.net/en/fairtrade-extends-timeline-for-cooperatives-to-complete-geolocation-data-collection.html" TargetMode="External"/><Relationship Id="rIdX35" Type="http://schemas.openxmlformats.org/officeDocument/2006/relationships/hyperlink" Target="https://news.mongabay.com/2025/04/indonesia-strengthens-forest-monitoring-with-new-tool-to-meet-eu-deforestation-law/" TargetMode="External"/><Relationship Id="rIdX36" Type="http://schemas.openxmlformats.org/officeDocument/2006/relationships/hyperlink" Target="https://www.gps.gov/systems/gps/performance/accuracy/" TargetMode="External"/><Relationship Id="rIdX37" Type="http://schemas.openxmlformats.org/officeDocument/2006/relationships/hyperlink" Target="https://www.atlascoffee.com/coffees/ketiara-cooperative/" TargetMode="External"/><Relationship Id="rIdX38" Type="http://schemas.openxmlformats.org/officeDocument/2006/relationships/hyperlink" Target="https://www.futuremarketinsights.com/reports/eudr-commodity-due-diligence-software-market" TargetMode="External"/><Relationship Id="rIdX39" Type="http://schemas.openxmlformats.org/officeDocument/2006/relationships/hyperlink" Target="https://supabase.com/pricing" TargetMode="External"/><Relationship Id="rIdIMG1" Type="http://schemas.openxmlformats.org/officeDocument/2006/relationships/image" Target="media/akar_img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