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spacing w:after="120"/>
      </w:pPr>
      <w:r>
        <w:rPr/>
        <w:t>关西大学硕士在读｜AI 辅助工具开发、数据质量改善与业务需求分析</w:t>
      </w:r>
    </w:p>
    <w:p>
      <w:hyperlink r:id="rId9">
        <w:r>
          <w:rPr>
            <w:rStyle w:val="Hyperlink"/>
            <w:color w:val="1D1D1F"/>
            <w:u w:val="single"/>
          </w:rPr>
          <w:t>yotenra.com</w:t>
        </w:r>
      </w:hyperlink>
      <w:r>
        <w:rPr/>
        <w:t xml:space="preserve">　</w:t>
      </w:r>
      <w:hyperlink r:id="rId10">
        <w:r>
          <w:rPr>
            <w:rStyle w:val="Hyperlink"/>
            <w:color w:val="1D1D1F"/>
            <w:u w:val="single"/>
          </w:rPr>
          <w:t>GitHub</w:t>
        </w:r>
      </w:hyperlink>
    </w:p>
    <w:p>
      <w:pPr>
        <w:pStyle w:val="Heading1"/>
      </w:pPr>
      <w:r>
        <w:rPr/>
        <w:t>个人概述</w:t>
      </w:r>
    </w:p>
    <w:p>
      <w:r>
        <w:rPr/>
        <w:t>就读于关西大学大学院総合情報学研究科社会情報学専攻，预计2027年9月完成硕士课程。曾在旅行公司整理业务需求、协调研发，也创办并运营过游戏相关服务；目前在 Baseconnect 从事企业数据质量改善。研究和日常使用中遇到的具体问题，是我开发工具的起点。开发时大量使用 AI，我负责明确需求、比较方案、判断业务风险并验证结果，希望将这些经验用于 AI 应用、业务工具和产品原型的开发。</w:t>
      </w:r>
    </w:p>
    <w:p>
      <w:pPr>
        <w:pStyle w:val="Heading1"/>
      </w:pPr>
      <w:r>
        <w:rPr/>
        <w:t>工作经历</w:t>
      </w:r>
    </w:p>
    <w:p>
      <w:pPr>
        <w:pStyle w:val="Heading2"/>
      </w:pPr>
      <w:r>
        <w:rPr/>
        <w:t>Baseconnect｜AI 工程实习（兼职）</w:t>
      </w:r>
    </w:p>
    <w:p>
      <w:r>
        <w:rPr/>
        <w:t>2026–现在</w:t>
      </w:r>
    </w:p>
    <w:p>
      <w:pPr>
        <w:pStyle w:val="ListBullet"/>
      </w:pPr>
      <w:r>
        <w:rPr/>
        <w:t>参与企业信息抽取与质量改善，直接处理 S3 中供客户使用的生产数据，并修改数据生成流程。在3个月、约320工时内提出190个 PR，均经同事审查后合并。</w:t>
      </w:r>
    </w:p>
    <w:p>
      <w:pPr>
        <w:pStyle w:val="ListBullet"/>
      </w:pPr>
      <w:r>
        <w:rPr/>
        <w:t>将重复出现的数据修正整理成可复用的处理程序（transform），并向产生问题的生产流程提交修正 PR。同类问题再次出现时，判断已有程序能否直接使用、是否需要调整。先试运行（dry-run）核对改动并备份，再由本人执行生产修正、检查结果。这3个月中的后1.5个月，约180工时内完成38项修正任务。</w:t>
      </w:r>
    </w:p>
    <w:p>
      <w:pPr>
        <w:pStyle w:val="ListBullet"/>
      </w:pPr>
      <w:r>
        <w:rPr/>
        <w:t>由 Claude 辅助调查和实现，本人负责定义问题与目标、核对业务要求、判断风险和组织验证。另在 AI 辅助下开发带数据库的个人工作台，保存验收标准、验证结果和作业记录，便于在不同 AI 会话中接续工作。</w:t>
      </w:r>
    </w:p>
    <w:p>
      <w:pPr>
        <w:pStyle w:val="ListBullet"/>
      </w:pPr>
      <w:r>
        <w:rPr/>
        <w:t>据2026年10月整理的工作记录，2026年6月上旬至9月上旬，在所负责的企业部门与组织信息中，一个特定数据项的抽取精度从40%多提高到85%，覆盖率从30%多提高到75%。精度按“正确抽取件数／抽取总件数”计算，覆盖率按“抽取总件数／标准答案数据件数”计算。</w:t>
      </w:r>
    </w:p>
    <w:p>
      <w:pPr>
        <w:pStyle w:val="Heading2"/>
      </w:pPr>
      <w:r>
        <w:rPr/>
        <w:t>关西大学｜教学助理（TA）</w:t>
      </w:r>
    </w:p>
    <w:p>
      <w:pPr>
        <w:keepNext/>
      </w:pPr>
      <w:r>
        <w:rPr/>
        <w:t>2025.09–现在</w:t>
      </w:r>
    </w:p>
    <w:p>
      <w:pPr>
        <w:pStyle w:val="ListBullet"/>
      </w:pPr>
      <w:r>
        <w:rPr/>
        <w:t>为软件开发、数学、科学素养、图形学和质性研究等实习课答疑，说明工具操作、逻辑和作业要求，帮助学生推进学习。</w:t>
      </w:r>
    </w:p>
    <w:p>
      <w:pPr>
        <w:pStyle w:val="ListBullet"/>
      </w:pPr>
      <w:r>
        <w:rPr/>
        <w:t>在学生服务站受理软硬件咨询，记录问题和发生情况，必要时转交技术人员跟进。</w:t>
      </w:r>
    </w:p>
    <w:p>
      <w:pPr>
        <w:pStyle w:val="Heading2"/>
        <w:pageBreakBefore/>
      </w:pPr>
      <w:r>
        <w:rPr/>
        <w:t>Studio Keya_cc｜创办与运营</w:t>
      </w:r>
    </w:p>
    <w:p>
      <w:pPr>
        <w:keepNext/>
      </w:pPr>
      <w:r>
        <w:rPr/>
        <w:t>2019.11–2025.12</w:t>
      </w:r>
    </w:p>
    <w:p>
      <w:pPr>
        <w:pStyle w:val="ListBullet"/>
      </w:pPr>
      <w:r>
        <w:rPr/>
        <w:t>面向中文玩家创办并运营游戏相关服务，直接提供韩元支付与游戏内购买代付、游戏内物品和货币交易担保，以及新玩家付费咨询。交易担保按手续费收费，咨询按分钟计费，同时参与短视频和攻略内容制作。</w:t>
      </w:r>
    </w:p>
    <w:p>
      <w:pPr>
        <w:pStyle w:val="ListBullet"/>
      </w:pPr>
      <w:r>
        <w:rPr/>
        <w:t>整个经营期间累计服务2,000名以上客户，已按服务整体去重；视频累计播放约50万次。</w:t>
      </w:r>
    </w:p>
    <w:p>
      <w:pPr>
        <w:pStyle w:val="ListBullet"/>
      </w:pPr>
      <w:r>
        <w:rPr/>
        <w:t>高峰期聘用约3名实习生，安排客服分工，共同完成服务工作。</w:t>
      </w:r>
    </w:p>
    <w:p>
      <w:pPr>
        <w:pStyle w:val="ListBullet"/>
      </w:pPr>
      <w:r>
        <w:rPr/>
        <w:t>为看不懂韩语的中文韩服玩家整理活动规则、物品获取的数学期望和所需费用，分析投入产出，提出能以较低支出获得相同游戏内效果的玩法与购买方案。参与攻略图片、PDF、文字、视频和攻略网站制作，持续向订阅攻略信息的用户提供内容。</w:t>
      </w:r>
    </w:p>
    <w:p>
      <w:r>
        <w:rPr/>
        <w:t>累计客户收款约人民币1,500万元，包含代付本金。累计毛利超过人民币300万元，已扣除礼品卡购买费与充值执行成本，尚未扣除工资和其他经营开支。累计净利润估算约人民币250万元。</w:t>
      </w:r>
    </w:p>
    <w:p>
      <w:pPr>
        <w:pStyle w:val="Heading2"/>
      </w:pPr>
      <w:r>
        <w:rPr/>
        <w:t>Holly Travel Int. Travel Agency｜总经理助理（CEO直属，业务需求与研发协调）</w:t>
      </w:r>
    </w:p>
    <w:p>
      <w:pPr>
        <w:keepNext/>
      </w:pPr>
      <w:r>
        <w:rPr/>
        <w:t>2017.12–2021.12　广州</w:t>
      </w:r>
    </w:p>
    <w:p>
      <w:pPr>
        <w:pStyle w:val="ListBullet"/>
      </w:pPr>
      <w:r>
        <w:rPr/>
        <w:t>作为 CEO 直属助理，负责整理业务需求并协调研发。观察酒店调价的一线操作，与业务人员及约5–10名协作的研发人员讨论实现范围和难度；共同确定界面方案，再制作演示原型和需求文档。</w:t>
      </w:r>
    </w:p>
    <w:p>
      <w:pPr>
        <w:pStyle w:val="ListBullet"/>
      </w:pPr>
      <w:r>
        <w:rPr/>
        <w:t>使用甘特图跟进开发进度，综合任务依赖、工时、成本及人员可投入时间安排工作。遇到问题时，比较能满足同一业务目标的替代方案，并与相关人员协调，跟进测试、修改和使用培训。</w:t>
      </w:r>
    </w:p>
    <w:p>
      <w:pPr>
        <w:pStyle w:val="ListBullet"/>
      </w:pPr>
      <w:r>
        <w:rPr/>
        <w:t>参与对接供应商和销售渠道的调价系统、酒店预订与旅行产品分销系统，以及内部财务和绩效奖金计算系统的需求分析。在酒店账单信息导入功能中，综合成本、工期和准确度，协调采用先初步匹配、再由财务人员确认并录入的方式，推动投入业务使用。技术实现由研发团队负责。</w:t>
      </w:r>
    </w:p>
    <w:p>
      <w:pPr>
        <w:pStyle w:val="Heading1"/>
        <w:pageBreakBefore/>
      </w:pPr>
      <w:r>
        <w:rPr/>
        <w:t>研究与开发项目</w:t>
      </w:r>
    </w:p>
    <w:p>
      <w:pPr>
        <w:pStyle w:val="Heading2"/>
      </w:pPr>
      <w:r>
        <w:rPr/>
        <w:t>CorpLink-AI｜研究数据处理工具</w:t>
      </w:r>
    </w:p>
    <w:p>
      <w:pPr>
        <w:keepNext/>
      </w:pPr>
      <w:r>
        <w:rPr/>
        <w:t xml:space="preserve">2026.02–03　</w:t>
      </w:r>
      <w:hyperlink r:id="rId11">
        <w:r>
          <w:rPr>
            <w:rStyle w:val="Hyperlink"/>
            <w:color w:val="1D1D1F"/>
            <w:u w:val="single"/>
          </w:rPr>
          <w:t>项目源码</w:t>
        </w:r>
      </w:hyperlink>
    </w:p>
    <w:p>
      <w:pPr>
        <w:pStyle w:val="ListBullet"/>
      </w:pPr>
      <w:r>
        <w:rPr/>
        <w:t>开发新闻数据处理工具，将文件中的企业名称和合作线索整理成关系数据与矩阵，供后续网络分析使用。</w:t>
      </w:r>
    </w:p>
    <w:p>
      <w:pPr>
        <w:pStyle w:val="ListBullet"/>
      </w:pPr>
      <w:r>
        <w:rPr/>
        <w:t>把上传文件、设置参数、处理和下载结果连成网页流程，减少研究中反复准备数据的工作。借助 Gemini 和 ChatGPT 提供的设计与代码建议，完成需求整理、代码整合和部署。</w:t>
      </w:r>
    </w:p>
    <w:p>
      <w:pPr>
        <w:pStyle w:val="ListBullet"/>
      </w:pPr>
      <w:r>
        <w:rPr/>
        <w:t>优先复用本地匹配结果、名称字典与缓存，只对尚未解决的部分调用模型，减少重复处理和调用。</w:t>
      </w:r>
    </w:p>
    <w:p>
      <w:pPr>
        <w:pStyle w:val="Heading2"/>
      </w:pPr>
      <w:r>
        <w:rPr/>
        <w:t>开源软件依赖分析｜硕士研究</w:t>
      </w:r>
    </w:p>
    <w:p>
      <w:r>
        <w:rPr/>
        <w:t xml:space="preserve">当前研究　</w:t>
      </w:r>
      <w:hyperlink r:id="rId12">
        <w:r>
          <w:rPr>
            <w:rStyle w:val="Hyperlink"/>
            <w:color w:val="1D1D1F"/>
            <w:u w:val="single"/>
          </w:rPr>
          <w:t>交互演示</w:t>
        </w:r>
      </w:hyperlink>
    </w:p>
    <w:p>
      <w:pPr>
        <w:pStyle w:val="ListBullet"/>
      </w:pPr>
      <w:r>
        <w:rPr/>
        <w:t>制作可切换指标的依赖网络图，让节点、排名和解释同步显示，便于比较软件包的依赖关系与各自的结构作用。</w:t>
      </w:r>
    </w:p>
    <w:p>
      <w:pPr>
        <w:pStyle w:val="ListBullet"/>
      </w:pPr>
      <w:r>
        <w:rPr/>
        <w:t>使用 PyPI 709个节点、Go 591个节点的样本，从多个指标观察依赖结构，比较被直接依赖的程度，以及连接网络不同部分的作用。</w:t>
      </w:r>
    </w:p>
    <w:p>
      <w:pPr>
        <w:pStyle w:val="Heading2"/>
      </w:pPr>
      <w:r>
        <w:rPr/>
        <w:t>个人应用</w:t>
      </w:r>
    </w:p>
    <w:p>
      <w:r>
        <w:rPr>
          <w:b/>
        </w:rPr>
        <w:t>AWS Pass It</w:t>
      </w:r>
      <w:r>
        <w:rPr/>
        <w:t>：面向多种 AWS 认证考试的学习应用，题库涵盖中文、日文和英文，各考试提供的语言版本不同；界面支持三语。支持模拟考分数预测、错题复习、术语解释，以及复制题目向 AI 提问。</w:t>
      </w:r>
    </w:p>
    <w:p>
      <w:r>
        <w:rPr>
          <w:b/>
        </w:rPr>
        <w:t>CalTracker</w:t>
      </w:r>
      <w:r>
        <w:rPr/>
        <w:t>：记录饮食、体重和身体尺寸。根据近期摄入量与体重变化估算消耗，再结合减重目标计算每日摄入目标。</w:t>
      </w:r>
    </w:p>
    <w:p>
      <w:r>
        <w:rPr>
          <w:b/>
        </w:rPr>
        <w:t>OOTD</w:t>
      </w:r>
      <w:r>
        <w:rPr/>
        <w:t>：把衣物、收纳格位、穿着记录与搭配放在一起管理，可查看单件衣物每次穿着的成本，以及尚未穿过的单品。</w:t>
      </w:r>
    </w:p>
    <w:p>
      <w:r>
        <w:rPr/>
        <w:t>这三个 Web 应用都来自我自己的日常需求。我先整理需要的功能，再借助 AI 实现，并在持续使用中改进。</w:t>
      </w:r>
    </w:p>
    <w:p>
      <w:pPr>
        <w:pStyle w:val="Heading1"/>
      </w:pPr>
      <w:r>
        <w:rPr/>
        <w:t>教育背景</w:t>
      </w:r>
    </w:p>
    <w:p>
      <w:pPr>
        <w:pStyle w:val="ListBullet"/>
      </w:pPr>
      <w:r>
        <w:rPr/>
        <w:t>关西大学大学院 総合情報学研究科 社会情報学専攻，硕士在读，2025.04–预计2027.09。</w:t>
      </w:r>
    </w:p>
    <w:p>
      <w:pPr>
        <w:pStyle w:val="ListBullet"/>
      </w:pPr>
      <w:r>
        <w:rPr/>
        <w:t>大阪情報ITクリエイター専門学校，系统开发课程，2024.04–2025.03，中途退学。</w:t>
      </w:r>
    </w:p>
    <w:p>
      <w:pPr>
        <w:pStyle w:val="ListBullet"/>
      </w:pPr>
      <w:r>
        <w:rPr/>
        <w:t>广东财经大学，金融工程本科，2014.09–2018.07。</w:t>
      </w:r>
    </w:p>
    <w:p>
      <w:pPr>
        <w:pStyle w:val="Heading1"/>
      </w:pPr>
      <w:r>
        <w:rPr/>
        <w:t>资格与语言</w:t>
      </w:r>
    </w:p>
    <w:p>
      <w:pPr>
        <w:keepLines/>
      </w:pPr>
      <w:r>
        <w:rPr/>
        <w:t>AWS Certified AI Practitioner（AIF，2026）；</w:t>
      </w:r>
      <w:r>
        <w:br/>
      </w:r>
      <w:r>
        <w:rPr/>
        <w:t>AWS Certified Cloud Practitioner（CLF，2026）；</w:t>
      </w:r>
      <w:r>
        <w:br/>
      </w:r>
      <w:r>
        <w:rPr/>
        <w:t>AWS Certified Solutions Architect – Associate（SAA，2026）｜</w:t>
      </w:r>
      <w:r>
        <w:br/>
      </w:r>
      <w:r>
        <w:rPr/>
        <w:t>JLPT N1（2023.12）；TOEIC L&amp;R 805（2022.08）；BEC Higher Grade C（2018.05）；基本情報技術者試験合格（2024.05）。普通话、粤语为母语。</w:t>
      </w:r>
    </w:p>
    <w:p>
      <w:pPr>
        <w:pStyle w:val="Heading1"/>
      </w:pPr>
      <w:r>
        <w:rPr/>
        <w:t>工具使用与本人分工</w:t>
      </w:r>
    </w:p>
    <w:p>
      <w:r>
        <w:rPr/>
        <w:t>在 AI 辅助开发中使用 Python、SQL、Git 和数据处理工具，能读懂部分代码，核对处理逻辑并作局部修改。调查和实现大量借助 Claude 等 AI 工具；本人重点负责需求定义、方案解释与比较、业务合理性和风险判断、验收标准与验证设计，再根据结果推进修改。</w:t>
      </w:r>
    </w:p>
    <w:p>
      <w:hyperlink r:id="rId13">
        <w:r>
          <w:rPr>
            <w:rStyle w:val="Hyperlink"/>
            <w:color w:val="1D1D1F"/>
            <w:u w:val="single"/>
          </w:rPr>
          <w:t>最难的开发经验</w:t>
        </w:r>
      </w:hyperlink>
      <w:r>
        <w:rPr/>
        <w:t xml:space="preserve"> · </w:t>
      </w:r>
      <w:hyperlink r:id="rId14">
        <w:r>
          <w:rPr>
            <w:rStyle w:val="Hyperlink"/>
            <w:color w:val="1D1D1F"/>
            <w:u w:val="single"/>
          </w:rPr>
          <w:t>项目功能与交互演示</w:t>
        </w:r>
      </w:hyperlink>
    </w:p>
    <w:sectPr w:rsidR="00FC693F" w:rsidRPr="0006063C" w:rsidSect="00034616">
      <w:footerReference w:type="default" r:id="rId15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/>
  <w:font w:name="PingFang SC"/>
  <w:font w:name="Hiragino San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lvetica Neue" w:hAnsi="Helvetica Neue" w:eastAsia="PingFang SC" w:cs="Helvetica Neue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 Neue" w:hAnsi="Helvetica Neue" w:hint="default" w:cs="Helvetica Neue" w:eastAsia="PingFang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Helvetica Neue" w:hAnsi="Helvetica Neue" w:hint="default" w:cs="Helvetica Neue" w:eastAsia="PingFang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Helvetica Neue" w:hAnsi="Helvetica Neue" w:hint="default" w:cs="Helvetica Neue" w:eastAsia="PingFang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Helvetica Neue" w:hAnsi="Helvetica Neue" w:hint="default" w:cs="Helvetica Neue" w:eastAsia="PingFang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Helvetica Neue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Helvetica Neue" w:hAnsi="Helvetica Neue" w:eastAsia="PingFang SC" w:cs="Helvetica Neu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Helvetica Neue" w:hAnsi="Helvetica Neue" w:eastAsia="PingFang SC" w:cs="Helvetica Neue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Helvetica Neue" w:hAnsi="Helvetica Neue" w:eastAsia="PingFang SC" w:cs="Helvetica Neue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/>
      <w:b/>
      <w:bCs/>
      <w:color w:val="1D1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 Neue" w:hAnsi="Helvetica Neue" w:cs="Helvetica Neue" w:eastAsia="PingFang SC"/>
      <w:b/>
      <w:bCs/>
      <w:i/>
      <w:iCs/>
      <w:color w:val="1D1D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 Neue" w:hAnsi="Helvetica Neue" w:cs="Helvetica Neue" w:eastAsia="PingFang SC"/>
      <w:color w:val="1D1D1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 Neue" w:hAnsi="Helvetica Neue" w:cs="Helvetica Neue" w:eastAsia="PingFang SC"/>
      <w:i/>
      <w:iCs/>
      <w:color w:val="1D1D1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 Neue" w:hAnsi="Helvetica Neue" w:cs="Helvetica Neue" w:eastAsia="PingFang S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 Neue" w:hAnsi="Helvetica Neue" w:cs="Helvetica Neue" w:eastAsia="PingFang SC"/>
      <w:color w:val="1D1D1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 Neue" w:hAnsi="Helvetica Neue" w:cs="Helvetica Neue" w:eastAsia="PingFang SC"/>
      <w:b/>
      <w:bCs/>
      <w:color w:val="1D1D1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Helvetica Neue" w:hAnsi="Helvetica Neue" w:eastAsia="PingFang SC" w:cs="Helvetica Neue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 Neue" w:hAnsi="Helvetica Neue" w:eastAsia="PingFang SC" w:cs="Helvetica Neue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Helvetica Neue" w:hAnsi="Helvetica Neue" w:eastAsia="PingFang SC" w:cs="Helvetica Neue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 Neue" w:hAnsi="Helvetica Neue" w:cs="Helvetica Neue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 Neue" w:hAnsi="Helvetica Neue" w:cs="Helvetica Neue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 Neue" w:hAnsi="Helvetica Neue" w:cs="Helvetica Neue" w:eastAsia="PingFang SC"/>
      <w:b/>
      <w:bCs/>
      <w:i/>
      <w:iCs/>
      <w:color w:val="1D1D1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 Neue" w:hAnsi="Helvetica Neue" w:cs="Helvetica Neue" w:eastAsia="PingFang SC"/>
      <w:color w:val="1D1D1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 Neue" w:hAnsi="Helvetica Neue" w:cs="Helvetica Neue" w:eastAsia="PingFang SC"/>
      <w:i/>
      <w:iCs/>
      <w:color w:val="1D1D1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 Neue" w:hAnsi="Helvetica Neue" w:cs="Helvetica Neue" w:eastAsia="PingFang SC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 Neue" w:hAnsi="Helvetica Neue" w:cs="Helvetica Neue" w:eastAsia="PingFang SC"/>
      <w:color w:val="1D1D1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D1D1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1D1D1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D1D1F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D1D1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D1D1F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D1D1F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1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  <w:shd w:val="clear" w:color="auto" w:fill="1D1D1F" w:themeFill="accent1" w:themeFillTint="3F"/>
      </w:tcPr>
    </w:tblStylePr>
    <w:tblStylePr w:type="band2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1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  <w:shd w:val="clear" w:color="auto" w:fill="1D1D1F" w:themeFill="accent2" w:themeFillTint="3F"/>
      </w:tcPr>
    </w:tblStylePr>
    <w:tblStylePr w:type="band2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1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  <w:shd w:val="clear" w:color="auto" w:fill="1D1D1F" w:themeFill="accent3" w:themeFillTint="3F"/>
      </w:tcPr>
    </w:tblStylePr>
    <w:tblStylePr w:type="band2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1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  <w:shd w:val="clear" w:color="auto" w:fill="1D1D1F" w:themeFill="accent4" w:themeFillTint="3F"/>
      </w:tcPr>
    </w:tblStylePr>
    <w:tblStylePr w:type="band2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1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  <w:shd w:val="clear" w:color="auto" w:fill="1D1D1F" w:themeFill="accent5" w:themeFillTint="3F"/>
      </w:tcPr>
    </w:tblStylePr>
    <w:tblStylePr w:type="band2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1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  <w:shd w:val="clear" w:color="auto" w:fill="1D1D1F" w:themeFill="accent6" w:themeFillTint="3F"/>
      </w:tcPr>
    </w:tblStylePr>
    <w:tblStylePr w:type="band2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2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3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4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5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6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  <w:insideV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  <w:insideV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  <w:insideV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  <w:insideV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  <w:insideV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  <w:insideV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3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tcBorders>
          <w:insideH w:val="single" w:sz="6" w:space="0" w:color="1D1D1F" w:themeColor="accent1"/>
          <w:insideV w:val="single" w:sz="6" w:space="0" w:color="1D1D1F" w:themeColor="accent1"/>
        </w:tcBorders>
        <w:shd w:val="clear" w:color="auto" w:fill="1D1D1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3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tcBorders>
          <w:insideH w:val="single" w:sz="6" w:space="0" w:color="1D1D1F" w:themeColor="accent2"/>
          <w:insideV w:val="single" w:sz="6" w:space="0" w:color="1D1D1F" w:themeColor="accent2"/>
        </w:tcBorders>
        <w:shd w:val="clear" w:color="auto" w:fill="1D1D1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3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tcBorders>
          <w:insideH w:val="single" w:sz="6" w:space="0" w:color="1D1D1F" w:themeColor="accent3"/>
          <w:insideV w:val="single" w:sz="6" w:space="0" w:color="1D1D1F" w:themeColor="accent3"/>
        </w:tcBorders>
        <w:shd w:val="clear" w:color="auto" w:fill="1D1D1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3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tcBorders>
          <w:insideH w:val="single" w:sz="6" w:space="0" w:color="1D1D1F" w:themeColor="accent4"/>
          <w:insideV w:val="single" w:sz="6" w:space="0" w:color="1D1D1F" w:themeColor="accent4"/>
        </w:tcBorders>
        <w:shd w:val="clear" w:color="auto" w:fill="1D1D1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3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tcBorders>
          <w:insideH w:val="single" w:sz="6" w:space="0" w:color="1D1D1F" w:themeColor="accent5"/>
          <w:insideV w:val="single" w:sz="6" w:space="0" w:color="1D1D1F" w:themeColor="accent5"/>
        </w:tcBorders>
        <w:shd w:val="clear" w:color="auto" w:fill="1D1D1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3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tcBorders>
          <w:insideH w:val="single" w:sz="6" w:space="0" w:color="1D1D1F" w:themeColor="accent6"/>
          <w:insideV w:val="single" w:sz="6" w:space="0" w:color="1D1D1F" w:themeColor="accent6"/>
        </w:tcBorders>
        <w:shd w:val="clear" w:color="auto" w:fill="1D1D1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1"/>
        <w:bottom w:val="single" w:sz="4" w:space="0" w:color="1D1D1F" w:themeColor="accent1"/>
        <w:right w:val="single" w:sz="4" w:space="0" w:color="1D1D1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1" w:themeShade="99"/>
          <w:insideV w:val="nil"/>
        </w:tcBorders>
        <w:shd w:val="clear" w:color="auto" w:fill="1D1D1F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99"/>
      </w:tcPr>
    </w:tblStylePr>
    <w:tblStylePr w:type="band1Vert">
      <w:tblPr/>
      <w:tcPr>
        <w:shd w:val="clear" w:color="auto" w:fill="1D1D1F" w:themeFill="accent1" w:themeFillTint="66"/>
      </w:tcPr>
    </w:tblStylePr>
    <w:tblStylePr w:type="band1Horz">
      <w:tblPr/>
      <w:tcPr>
        <w:shd w:val="clear" w:color="auto" w:fill="1D1D1F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2"/>
        <w:bottom w:val="single" w:sz="4" w:space="0" w:color="1D1D1F" w:themeColor="accent2"/>
        <w:right w:val="single" w:sz="4" w:space="0" w:color="1D1D1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2" w:themeShade="99"/>
          <w:insideV w:val="nil"/>
        </w:tcBorders>
        <w:shd w:val="clear" w:color="auto" w:fill="1D1D1F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99"/>
      </w:tcPr>
    </w:tblStylePr>
    <w:tblStylePr w:type="band1Vert">
      <w:tblPr/>
      <w:tcPr>
        <w:shd w:val="clear" w:color="auto" w:fill="1D1D1F" w:themeFill="accent2" w:themeFillTint="66"/>
      </w:tcPr>
    </w:tblStylePr>
    <w:tblStylePr w:type="band1Horz">
      <w:tblPr/>
      <w:tcPr>
        <w:shd w:val="clear" w:color="auto" w:fill="1D1D1F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4"/>
        <w:left w:val="single" w:sz="4" w:space="0" w:color="1D1D1F" w:themeColor="accent3"/>
        <w:bottom w:val="single" w:sz="4" w:space="0" w:color="1D1D1F" w:themeColor="accent3"/>
        <w:right w:val="single" w:sz="4" w:space="0" w:color="1D1D1F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3" w:themeShade="99"/>
          <w:insideV w:val="nil"/>
        </w:tcBorders>
        <w:shd w:val="clear" w:color="auto" w:fill="1D1D1F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99"/>
      </w:tcPr>
    </w:tblStylePr>
    <w:tblStylePr w:type="band1Vert">
      <w:tblPr/>
      <w:tcPr>
        <w:shd w:val="clear" w:color="auto" w:fill="1D1D1F" w:themeFill="accent3" w:themeFillTint="66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3"/>
        <w:left w:val="single" w:sz="4" w:space="0" w:color="1D1D1F" w:themeColor="accent4"/>
        <w:bottom w:val="single" w:sz="4" w:space="0" w:color="1D1D1F" w:themeColor="accent4"/>
        <w:right w:val="single" w:sz="4" w:space="0" w:color="1D1D1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4" w:themeShade="99"/>
          <w:insideV w:val="nil"/>
        </w:tcBorders>
        <w:shd w:val="clear" w:color="auto" w:fill="1D1D1F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99"/>
      </w:tcPr>
    </w:tblStylePr>
    <w:tblStylePr w:type="band1Vert">
      <w:tblPr/>
      <w:tcPr>
        <w:shd w:val="clear" w:color="auto" w:fill="1D1D1F" w:themeFill="accent4" w:themeFillTint="66"/>
      </w:tcPr>
    </w:tblStylePr>
    <w:tblStylePr w:type="band1Horz">
      <w:tblPr/>
      <w:tcPr>
        <w:shd w:val="clear" w:color="auto" w:fill="1D1D1F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6"/>
        <w:left w:val="single" w:sz="4" w:space="0" w:color="1D1D1F" w:themeColor="accent5"/>
        <w:bottom w:val="single" w:sz="4" w:space="0" w:color="1D1D1F" w:themeColor="accent5"/>
        <w:right w:val="single" w:sz="4" w:space="0" w:color="1D1D1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5" w:themeShade="99"/>
          <w:insideV w:val="nil"/>
        </w:tcBorders>
        <w:shd w:val="clear" w:color="auto" w:fill="1D1D1F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99"/>
      </w:tcPr>
    </w:tblStylePr>
    <w:tblStylePr w:type="band1Vert">
      <w:tblPr/>
      <w:tcPr>
        <w:shd w:val="clear" w:color="auto" w:fill="1D1D1F" w:themeFill="accent5" w:themeFillTint="66"/>
      </w:tcPr>
    </w:tblStylePr>
    <w:tblStylePr w:type="band1Horz">
      <w:tblPr/>
      <w:tcPr>
        <w:shd w:val="clear" w:color="auto" w:fill="1D1D1F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5"/>
        <w:left w:val="single" w:sz="4" w:space="0" w:color="1D1D1F" w:themeColor="accent6"/>
        <w:bottom w:val="single" w:sz="4" w:space="0" w:color="1D1D1F" w:themeColor="accent6"/>
        <w:right w:val="single" w:sz="4" w:space="0" w:color="1D1D1F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6" w:themeShade="99"/>
          <w:insideV w:val="nil"/>
        </w:tcBorders>
        <w:shd w:val="clear" w:color="auto" w:fill="1D1D1F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99"/>
      </w:tcPr>
    </w:tblStylePr>
    <w:tblStylePr w:type="band1Vert">
      <w:tblPr/>
      <w:tcPr>
        <w:shd w:val="clear" w:color="auto" w:fill="1D1D1F" w:themeFill="accent6" w:themeFillTint="66"/>
      </w:tcPr>
    </w:tblStylePr>
    <w:tblStylePr w:type="band1Horz">
      <w:tblPr/>
      <w:tcPr>
        <w:shd w:val="clear" w:color="auto" w:fill="1D1D1F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4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3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6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5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3"/>
    </w:tcPr>
    <w:tblStylePr w:type="firstRow">
      <w:rPr>
        <w:b/>
        <w:bCs/>
      </w:rPr>
      <w:tblPr/>
      <w:tcPr>
        <w:shd w:val="clear" w:color="auto" w:fill="1D1D1F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1" w:themeFillTint="66"/>
      </w:tcPr>
    </w:tblStylePr>
    <w:tblStylePr w:type="firstCol">
      <w:rPr>
        <w:color w:val="FFFFFF"/>
      </w:rPr>
      <w:tblPr/>
      <w:tcPr>
        <w:shd w:val="clear" w:color="auto" w:fill="1D1D1F" w:themeFill="accent1" w:themeFillShade="BF"/>
      </w:tcPr>
    </w:tblStylePr>
    <w:tblStylePr w:type="lastCol">
      <w:rPr>
        <w:color w:val="FFFFFF"/>
      </w:rPr>
      <w:tblPr/>
      <w:tcPr>
        <w:shd w:val="clear" w:color="auto" w:fill="1D1D1F" w:themeFill="accent1" w:themeFillShade="BF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3"/>
    </w:tcPr>
    <w:tblStylePr w:type="firstRow">
      <w:rPr>
        <w:b/>
        <w:bCs/>
      </w:rPr>
      <w:tblPr/>
      <w:tcPr>
        <w:shd w:val="clear" w:color="auto" w:fill="1D1D1F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2" w:themeFillTint="66"/>
      </w:tcPr>
    </w:tblStylePr>
    <w:tblStylePr w:type="firstCol">
      <w:rPr>
        <w:color w:val="FFFFFF"/>
      </w:rPr>
      <w:tblPr/>
      <w:tcPr>
        <w:shd w:val="clear" w:color="auto" w:fill="1D1D1F" w:themeFill="accent2" w:themeFillShade="BF"/>
      </w:tcPr>
    </w:tblStylePr>
    <w:tblStylePr w:type="lastCol">
      <w:rPr>
        <w:color w:val="FFFFFF"/>
      </w:rPr>
      <w:tblPr/>
      <w:tcPr>
        <w:shd w:val="clear" w:color="auto" w:fill="1D1D1F" w:themeFill="accent2" w:themeFillShade="BF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3"/>
    </w:tcPr>
    <w:tblStylePr w:type="firstRow">
      <w:rPr>
        <w:b/>
        <w:bCs/>
      </w:rPr>
      <w:tblPr/>
      <w:tcPr>
        <w:shd w:val="clear" w:color="auto" w:fill="1D1D1F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3" w:themeFillTint="66"/>
      </w:tcPr>
    </w:tblStylePr>
    <w:tblStylePr w:type="firstCol">
      <w:rPr>
        <w:color w:val="FFFFFF"/>
      </w:rPr>
      <w:tblPr/>
      <w:tcPr>
        <w:shd w:val="clear" w:color="auto" w:fill="1D1D1F" w:themeFill="accent3" w:themeFillShade="BF"/>
      </w:tcPr>
    </w:tblStylePr>
    <w:tblStylePr w:type="lastCol">
      <w:rPr>
        <w:color w:val="FFFFFF"/>
      </w:rPr>
      <w:tblPr/>
      <w:tcPr>
        <w:shd w:val="clear" w:color="auto" w:fill="1D1D1F" w:themeFill="accent3" w:themeFillShade="BF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3"/>
    </w:tcPr>
    <w:tblStylePr w:type="firstRow">
      <w:rPr>
        <w:b/>
        <w:bCs/>
      </w:rPr>
      <w:tblPr/>
      <w:tcPr>
        <w:shd w:val="clear" w:color="auto" w:fill="1D1D1F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4" w:themeFillTint="66"/>
      </w:tcPr>
    </w:tblStylePr>
    <w:tblStylePr w:type="firstCol">
      <w:rPr>
        <w:color w:val="FFFFFF"/>
      </w:rPr>
      <w:tblPr/>
      <w:tcPr>
        <w:shd w:val="clear" w:color="auto" w:fill="1D1D1F" w:themeFill="accent4" w:themeFillShade="BF"/>
      </w:tcPr>
    </w:tblStylePr>
    <w:tblStylePr w:type="lastCol">
      <w:rPr>
        <w:color w:val="FFFFFF"/>
      </w:rPr>
      <w:tblPr/>
      <w:tcPr>
        <w:shd w:val="clear" w:color="auto" w:fill="1D1D1F" w:themeFill="accent4" w:themeFillShade="BF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3"/>
    </w:tcPr>
    <w:tblStylePr w:type="firstRow">
      <w:rPr>
        <w:b/>
        <w:bCs/>
      </w:rPr>
      <w:tblPr/>
      <w:tcPr>
        <w:shd w:val="clear" w:color="auto" w:fill="1D1D1F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5" w:themeFillTint="66"/>
      </w:tcPr>
    </w:tblStylePr>
    <w:tblStylePr w:type="firstCol">
      <w:rPr>
        <w:color w:val="FFFFFF"/>
      </w:rPr>
      <w:tblPr/>
      <w:tcPr>
        <w:shd w:val="clear" w:color="auto" w:fill="1D1D1F" w:themeFill="accent5" w:themeFillShade="BF"/>
      </w:tcPr>
    </w:tblStylePr>
    <w:tblStylePr w:type="lastCol">
      <w:rPr>
        <w:color w:val="FFFFFF"/>
      </w:rPr>
      <w:tblPr/>
      <w:tcPr>
        <w:shd w:val="clear" w:color="auto" w:fill="1D1D1F" w:themeFill="accent5" w:themeFillShade="BF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3"/>
    </w:tcPr>
    <w:tblStylePr w:type="firstRow">
      <w:rPr>
        <w:b/>
        <w:bCs/>
      </w:rPr>
      <w:tblPr/>
      <w:tcPr>
        <w:shd w:val="clear" w:color="auto" w:fill="1D1D1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6" w:themeFillTint="66"/>
      </w:tcPr>
    </w:tblStylePr>
    <w:tblStylePr w:type="firstCol">
      <w:rPr>
        <w:color w:val="FFFFFF"/>
      </w:rPr>
      <w:tblPr/>
      <w:tcPr>
        <w:shd w:val="clear" w:color="auto" w:fill="1D1D1F" w:themeFill="accent6" w:themeFillShade="BF"/>
      </w:tcPr>
    </w:tblStylePr>
    <w:tblStylePr w:type="lastCol">
      <w:rPr>
        <w:color w:val="FFFFFF"/>
      </w:rPr>
      <w:tblPr/>
      <w:tcPr>
        <w:shd w:val="clear" w:color="auto" w:fill="1D1D1F" w:themeFill="accent6" w:themeFillShade="BF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 Neue" w:hAnsi="Helvetica Neue" w:cs="Helvetica Neue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/>
      <w:b/>
      <w:bCs/>
      <w:color w:val="1D1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 Neue" w:hAnsi="Helvetica Neue" w:cs="Helvetica Neue" w:eastAsia="PingFang SC"/>
      <w:b/>
      <w:bCs/>
      <w:i/>
      <w:iCs/>
      <w:color w:val="1D1D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 Neue" w:hAnsi="Helvetica Neue" w:cs="Helvetica Neue" w:eastAsia="PingFang SC"/>
      <w:color w:val="1D1D1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 Neue" w:hAnsi="Helvetica Neue" w:cs="Helvetica Neue" w:eastAsia="PingFang SC"/>
      <w:i/>
      <w:iCs/>
      <w:color w:val="1D1D1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 Neue" w:hAnsi="Helvetica Neue" w:cs="Helvetica Neue" w:eastAsia="PingFang S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 Neue" w:hAnsi="Helvetica Neue" w:cs="Helvetica Neue" w:eastAsia="PingFang SC"/>
      <w:color w:val="1D1D1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 Neue" w:hAnsi="Helvetica Neue" w:cs="Helvetica Neue" w:eastAsia="PingFang SC"/>
      <w:b/>
      <w:bCs/>
      <w:color w:val="1D1D1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D1D1F" w:themeColor="accent1"/>
      </w:pBdr>
      <w:spacing w:after="300" w:line="240" w:lineRule="auto"/>
      <w:contextualSpacing/>
    </w:pPr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 Neue" w:hAnsi="Helvetica Neue" w:cs="Helvetica Neue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 Neue" w:hAnsi="Helvetica Neue" w:cs="Helvetica Neue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 Neue" w:hAnsi="Helvetica Neue" w:cs="Helvetica Neue" w:eastAsia="PingFang SC"/>
      <w:b/>
      <w:bCs/>
      <w:i/>
      <w:iCs/>
      <w:color w:val="1D1D1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 Neue" w:hAnsi="Helvetica Neue" w:cs="Helvetica Neue" w:eastAsia="PingFang SC"/>
      <w:color w:val="1D1D1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 Neue" w:hAnsi="Helvetica Neue" w:cs="Helvetica Neue" w:eastAsia="PingFang SC"/>
      <w:i/>
      <w:iCs/>
      <w:color w:val="1D1D1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 Neue" w:hAnsi="Helvetica Neue" w:cs="Helvetica Neue" w:eastAsia="PingFang SC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 Neue" w:hAnsi="Helvetica Neue" w:cs="Helvetica Neue" w:eastAsia="PingFang SC"/>
      <w:color w:val="1D1D1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D1D1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D1D1F" w:themeColor="accent1"/>
      </w:pBdr>
      <w:spacing w:before="200" w:after="280"/>
      <w:ind w:left="936" w:right="936"/>
    </w:pPr>
    <w:rPr>
      <w:b/>
      <w:bCs/>
      <w:i/>
      <w:iCs/>
      <w:color w:val="1D1D1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D1D1F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D1D1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D1D1F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D1D1F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1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  <w:shd w:val="clear" w:color="auto" w:fill="1D1D1F" w:themeFill="accent1" w:themeFillTint="3F"/>
      </w:tcPr>
    </w:tblStylePr>
    <w:tblStylePr w:type="band2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1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  <w:shd w:val="clear" w:color="auto" w:fill="1D1D1F" w:themeFill="accent2" w:themeFillTint="3F"/>
      </w:tcPr>
    </w:tblStylePr>
    <w:tblStylePr w:type="band2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1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  <w:shd w:val="clear" w:color="auto" w:fill="1D1D1F" w:themeFill="accent3" w:themeFillTint="3F"/>
      </w:tcPr>
    </w:tblStylePr>
    <w:tblStylePr w:type="band2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1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  <w:shd w:val="clear" w:color="auto" w:fill="1D1D1F" w:themeFill="accent4" w:themeFillTint="3F"/>
      </w:tcPr>
    </w:tblStylePr>
    <w:tblStylePr w:type="band2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1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  <w:shd w:val="clear" w:color="auto" w:fill="1D1D1F" w:themeFill="accent5" w:themeFillTint="3F"/>
      </w:tcPr>
    </w:tblStylePr>
    <w:tblStylePr w:type="band2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1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  <w:shd w:val="clear" w:color="auto" w:fill="1D1D1F" w:themeFill="accent6" w:themeFillTint="3F"/>
      </w:tcPr>
    </w:tblStylePr>
    <w:tblStylePr w:type="band2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2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3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4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5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6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  <w:insideV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  <w:insideV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  <w:insideV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  <w:insideV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  <w:insideV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  <w:insideV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3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tcBorders>
          <w:insideH w:val="single" w:sz="6" w:space="0" w:color="1D1D1F" w:themeColor="accent1"/>
          <w:insideV w:val="single" w:sz="6" w:space="0" w:color="1D1D1F" w:themeColor="accent1"/>
        </w:tcBorders>
        <w:shd w:val="clear" w:color="auto" w:fill="1D1D1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3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tcBorders>
          <w:insideH w:val="single" w:sz="6" w:space="0" w:color="1D1D1F" w:themeColor="accent2"/>
          <w:insideV w:val="single" w:sz="6" w:space="0" w:color="1D1D1F" w:themeColor="accent2"/>
        </w:tcBorders>
        <w:shd w:val="clear" w:color="auto" w:fill="1D1D1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3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tcBorders>
          <w:insideH w:val="single" w:sz="6" w:space="0" w:color="1D1D1F" w:themeColor="accent3"/>
          <w:insideV w:val="single" w:sz="6" w:space="0" w:color="1D1D1F" w:themeColor="accent3"/>
        </w:tcBorders>
        <w:shd w:val="clear" w:color="auto" w:fill="1D1D1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3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tcBorders>
          <w:insideH w:val="single" w:sz="6" w:space="0" w:color="1D1D1F" w:themeColor="accent4"/>
          <w:insideV w:val="single" w:sz="6" w:space="0" w:color="1D1D1F" w:themeColor="accent4"/>
        </w:tcBorders>
        <w:shd w:val="clear" w:color="auto" w:fill="1D1D1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3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tcBorders>
          <w:insideH w:val="single" w:sz="6" w:space="0" w:color="1D1D1F" w:themeColor="accent5"/>
          <w:insideV w:val="single" w:sz="6" w:space="0" w:color="1D1D1F" w:themeColor="accent5"/>
        </w:tcBorders>
        <w:shd w:val="clear" w:color="auto" w:fill="1D1D1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3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tcBorders>
          <w:insideH w:val="single" w:sz="6" w:space="0" w:color="1D1D1F" w:themeColor="accent6"/>
          <w:insideV w:val="single" w:sz="6" w:space="0" w:color="1D1D1F" w:themeColor="accent6"/>
        </w:tcBorders>
        <w:shd w:val="clear" w:color="auto" w:fill="1D1D1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1"/>
        <w:bottom w:val="single" w:sz="4" w:space="0" w:color="1D1D1F" w:themeColor="accent1"/>
        <w:right w:val="single" w:sz="4" w:space="0" w:color="1D1D1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1" w:themeShade="99"/>
          <w:insideV w:val="nil"/>
        </w:tcBorders>
        <w:shd w:val="clear" w:color="auto" w:fill="1D1D1F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99"/>
      </w:tcPr>
    </w:tblStylePr>
    <w:tblStylePr w:type="band1Vert">
      <w:tblPr/>
      <w:tcPr>
        <w:shd w:val="clear" w:color="auto" w:fill="1D1D1F" w:themeFill="accent1" w:themeFillTint="66"/>
      </w:tcPr>
    </w:tblStylePr>
    <w:tblStylePr w:type="band1Horz">
      <w:tblPr/>
      <w:tcPr>
        <w:shd w:val="clear" w:color="auto" w:fill="1D1D1F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2"/>
        <w:bottom w:val="single" w:sz="4" w:space="0" w:color="1D1D1F" w:themeColor="accent2"/>
        <w:right w:val="single" w:sz="4" w:space="0" w:color="1D1D1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2" w:themeShade="99"/>
          <w:insideV w:val="nil"/>
        </w:tcBorders>
        <w:shd w:val="clear" w:color="auto" w:fill="1D1D1F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99"/>
      </w:tcPr>
    </w:tblStylePr>
    <w:tblStylePr w:type="band1Vert">
      <w:tblPr/>
      <w:tcPr>
        <w:shd w:val="clear" w:color="auto" w:fill="1D1D1F" w:themeFill="accent2" w:themeFillTint="66"/>
      </w:tcPr>
    </w:tblStylePr>
    <w:tblStylePr w:type="band1Horz">
      <w:tblPr/>
      <w:tcPr>
        <w:shd w:val="clear" w:color="auto" w:fill="1D1D1F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4"/>
        <w:left w:val="single" w:sz="4" w:space="0" w:color="1D1D1F" w:themeColor="accent3"/>
        <w:bottom w:val="single" w:sz="4" w:space="0" w:color="1D1D1F" w:themeColor="accent3"/>
        <w:right w:val="single" w:sz="4" w:space="0" w:color="1D1D1F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3" w:themeShade="99"/>
          <w:insideV w:val="nil"/>
        </w:tcBorders>
        <w:shd w:val="clear" w:color="auto" w:fill="1D1D1F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99"/>
      </w:tcPr>
    </w:tblStylePr>
    <w:tblStylePr w:type="band1Vert">
      <w:tblPr/>
      <w:tcPr>
        <w:shd w:val="clear" w:color="auto" w:fill="1D1D1F" w:themeFill="accent3" w:themeFillTint="66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3"/>
        <w:left w:val="single" w:sz="4" w:space="0" w:color="1D1D1F" w:themeColor="accent4"/>
        <w:bottom w:val="single" w:sz="4" w:space="0" w:color="1D1D1F" w:themeColor="accent4"/>
        <w:right w:val="single" w:sz="4" w:space="0" w:color="1D1D1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4" w:themeShade="99"/>
          <w:insideV w:val="nil"/>
        </w:tcBorders>
        <w:shd w:val="clear" w:color="auto" w:fill="1D1D1F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99"/>
      </w:tcPr>
    </w:tblStylePr>
    <w:tblStylePr w:type="band1Vert">
      <w:tblPr/>
      <w:tcPr>
        <w:shd w:val="clear" w:color="auto" w:fill="1D1D1F" w:themeFill="accent4" w:themeFillTint="66"/>
      </w:tcPr>
    </w:tblStylePr>
    <w:tblStylePr w:type="band1Horz">
      <w:tblPr/>
      <w:tcPr>
        <w:shd w:val="clear" w:color="auto" w:fill="1D1D1F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6"/>
        <w:left w:val="single" w:sz="4" w:space="0" w:color="1D1D1F" w:themeColor="accent5"/>
        <w:bottom w:val="single" w:sz="4" w:space="0" w:color="1D1D1F" w:themeColor="accent5"/>
        <w:right w:val="single" w:sz="4" w:space="0" w:color="1D1D1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5" w:themeShade="99"/>
          <w:insideV w:val="nil"/>
        </w:tcBorders>
        <w:shd w:val="clear" w:color="auto" w:fill="1D1D1F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99"/>
      </w:tcPr>
    </w:tblStylePr>
    <w:tblStylePr w:type="band1Vert">
      <w:tblPr/>
      <w:tcPr>
        <w:shd w:val="clear" w:color="auto" w:fill="1D1D1F" w:themeFill="accent5" w:themeFillTint="66"/>
      </w:tcPr>
    </w:tblStylePr>
    <w:tblStylePr w:type="band1Horz">
      <w:tblPr/>
      <w:tcPr>
        <w:shd w:val="clear" w:color="auto" w:fill="1D1D1F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5"/>
        <w:left w:val="single" w:sz="4" w:space="0" w:color="1D1D1F" w:themeColor="accent6"/>
        <w:bottom w:val="single" w:sz="4" w:space="0" w:color="1D1D1F" w:themeColor="accent6"/>
        <w:right w:val="single" w:sz="4" w:space="0" w:color="1D1D1F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6" w:themeShade="99"/>
          <w:insideV w:val="nil"/>
        </w:tcBorders>
        <w:shd w:val="clear" w:color="auto" w:fill="1D1D1F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99"/>
      </w:tcPr>
    </w:tblStylePr>
    <w:tblStylePr w:type="band1Vert">
      <w:tblPr/>
      <w:tcPr>
        <w:shd w:val="clear" w:color="auto" w:fill="1D1D1F" w:themeFill="accent6" w:themeFillTint="66"/>
      </w:tcPr>
    </w:tblStylePr>
    <w:tblStylePr w:type="band1Horz">
      <w:tblPr/>
      <w:tcPr>
        <w:shd w:val="clear" w:color="auto" w:fill="1D1D1F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4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3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6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5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3"/>
    </w:tcPr>
    <w:tblStylePr w:type="firstRow">
      <w:rPr>
        <w:b/>
        <w:bCs/>
      </w:rPr>
      <w:tblPr/>
      <w:tcPr>
        <w:shd w:val="clear" w:color="auto" w:fill="1D1D1F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1" w:themeFillTint="66"/>
      </w:tcPr>
    </w:tblStylePr>
    <w:tblStylePr w:type="firstCol">
      <w:rPr>
        <w:color w:val="FFFFFF"/>
      </w:rPr>
      <w:tblPr/>
      <w:tcPr>
        <w:shd w:val="clear" w:color="auto" w:fill="1D1D1F" w:themeFill="accent1" w:themeFillShade="BF"/>
      </w:tcPr>
    </w:tblStylePr>
    <w:tblStylePr w:type="lastCol">
      <w:rPr>
        <w:color w:val="FFFFFF"/>
      </w:rPr>
      <w:tblPr/>
      <w:tcPr>
        <w:shd w:val="clear" w:color="auto" w:fill="1D1D1F" w:themeFill="accent1" w:themeFillShade="BF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3"/>
    </w:tcPr>
    <w:tblStylePr w:type="firstRow">
      <w:rPr>
        <w:b/>
        <w:bCs/>
      </w:rPr>
      <w:tblPr/>
      <w:tcPr>
        <w:shd w:val="clear" w:color="auto" w:fill="1D1D1F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2" w:themeFillTint="66"/>
      </w:tcPr>
    </w:tblStylePr>
    <w:tblStylePr w:type="firstCol">
      <w:rPr>
        <w:color w:val="FFFFFF"/>
      </w:rPr>
      <w:tblPr/>
      <w:tcPr>
        <w:shd w:val="clear" w:color="auto" w:fill="1D1D1F" w:themeFill="accent2" w:themeFillShade="BF"/>
      </w:tcPr>
    </w:tblStylePr>
    <w:tblStylePr w:type="lastCol">
      <w:rPr>
        <w:color w:val="FFFFFF"/>
      </w:rPr>
      <w:tblPr/>
      <w:tcPr>
        <w:shd w:val="clear" w:color="auto" w:fill="1D1D1F" w:themeFill="accent2" w:themeFillShade="BF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3"/>
    </w:tcPr>
    <w:tblStylePr w:type="firstRow">
      <w:rPr>
        <w:b/>
        <w:bCs/>
      </w:rPr>
      <w:tblPr/>
      <w:tcPr>
        <w:shd w:val="clear" w:color="auto" w:fill="1D1D1F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3" w:themeFillTint="66"/>
      </w:tcPr>
    </w:tblStylePr>
    <w:tblStylePr w:type="firstCol">
      <w:rPr>
        <w:color w:val="FFFFFF"/>
      </w:rPr>
      <w:tblPr/>
      <w:tcPr>
        <w:shd w:val="clear" w:color="auto" w:fill="1D1D1F" w:themeFill="accent3" w:themeFillShade="BF"/>
      </w:tcPr>
    </w:tblStylePr>
    <w:tblStylePr w:type="lastCol">
      <w:rPr>
        <w:color w:val="FFFFFF"/>
      </w:rPr>
      <w:tblPr/>
      <w:tcPr>
        <w:shd w:val="clear" w:color="auto" w:fill="1D1D1F" w:themeFill="accent3" w:themeFillShade="BF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3"/>
    </w:tcPr>
    <w:tblStylePr w:type="firstRow">
      <w:rPr>
        <w:b/>
        <w:bCs/>
      </w:rPr>
      <w:tblPr/>
      <w:tcPr>
        <w:shd w:val="clear" w:color="auto" w:fill="1D1D1F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4" w:themeFillTint="66"/>
      </w:tcPr>
    </w:tblStylePr>
    <w:tblStylePr w:type="firstCol">
      <w:rPr>
        <w:color w:val="FFFFFF"/>
      </w:rPr>
      <w:tblPr/>
      <w:tcPr>
        <w:shd w:val="clear" w:color="auto" w:fill="1D1D1F" w:themeFill="accent4" w:themeFillShade="BF"/>
      </w:tcPr>
    </w:tblStylePr>
    <w:tblStylePr w:type="lastCol">
      <w:rPr>
        <w:color w:val="FFFFFF"/>
      </w:rPr>
      <w:tblPr/>
      <w:tcPr>
        <w:shd w:val="clear" w:color="auto" w:fill="1D1D1F" w:themeFill="accent4" w:themeFillShade="BF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3"/>
    </w:tcPr>
    <w:tblStylePr w:type="firstRow">
      <w:rPr>
        <w:b/>
        <w:bCs/>
      </w:rPr>
      <w:tblPr/>
      <w:tcPr>
        <w:shd w:val="clear" w:color="auto" w:fill="1D1D1F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5" w:themeFillTint="66"/>
      </w:tcPr>
    </w:tblStylePr>
    <w:tblStylePr w:type="firstCol">
      <w:rPr>
        <w:color w:val="FFFFFF"/>
      </w:rPr>
      <w:tblPr/>
      <w:tcPr>
        <w:shd w:val="clear" w:color="auto" w:fill="1D1D1F" w:themeFill="accent5" w:themeFillShade="BF"/>
      </w:tcPr>
    </w:tblStylePr>
    <w:tblStylePr w:type="lastCol">
      <w:rPr>
        <w:color w:val="FFFFFF"/>
      </w:rPr>
      <w:tblPr/>
      <w:tcPr>
        <w:shd w:val="clear" w:color="auto" w:fill="1D1D1F" w:themeFill="accent5" w:themeFillShade="BF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3"/>
    </w:tcPr>
    <w:tblStylePr w:type="firstRow">
      <w:rPr>
        <w:b/>
        <w:bCs/>
      </w:rPr>
      <w:tblPr/>
      <w:tcPr>
        <w:shd w:val="clear" w:color="auto" w:fill="1D1D1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6" w:themeFillTint="66"/>
      </w:tcPr>
    </w:tblStylePr>
    <w:tblStylePr w:type="firstCol">
      <w:rPr>
        <w:color w:val="FFFFFF"/>
      </w:rPr>
      <w:tblPr/>
      <w:tcPr>
        <w:shd w:val="clear" w:color="auto" w:fill="1D1D1F" w:themeFill="accent6" w:themeFillShade="BF"/>
      </w:tcPr>
    </w:tblStylePr>
    <w:tblStylePr w:type="lastCol">
      <w:rPr>
        <w:color w:val="FFFFFF"/>
      </w:rPr>
      <w:tblPr/>
      <w:tcPr>
        <w:shd w:val="clear" w:color="auto" w:fill="1D1D1F" w:themeFill="accent6" w:themeFillShade="BF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github.com/shiameyeung/CorpLink-AI" TargetMode="External"/><Relationship Id="rId12" Type="http://schemas.openxmlformats.org/officeDocument/2006/relationships/hyperlink" Target="https://yotenra.com/oss-dependency-sna/" TargetMode="External"/><Relationship Id="rId13" Type="http://schemas.openxmlformats.org/officeDocument/2006/relationships/hyperlink" Target="https://yotenra.com/challenge.html" TargetMode="External"/><Relationship Id="rId14" Type="http://schemas.openxmlformats.org/officeDocument/2006/relationships/hyperlink" Target="https://yotenra.com/apps.html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pple Neutral">
      <a:dk1>
        <a:srgbClr val="000000"/>
      </a:dk1>
      <a:lt1>
        <a:srgbClr val="FFFFFF"/>
      </a:lt1>
      <a:dk2>
        <a:srgbClr val="1D1D1F"/>
      </a:dk2>
      <a:lt2>
        <a:srgbClr val="F5F5F7"/>
      </a:lt2>
      <a:accent1>
        <a:srgbClr val="1D1D1F"/>
      </a:accent1>
      <a:accent2>
        <a:srgbClr val="6E6E73"/>
      </a:accent2>
      <a:accent3>
        <a:srgbClr val="D2D2D7"/>
      </a:accent3>
      <a:accent4>
        <a:srgbClr val="F5F5F7"/>
      </a:accent4>
      <a:accent5>
        <a:srgbClr val="6E6E73"/>
      </a:accent5>
      <a:accent6>
        <a:srgbClr val="D2D2D7"/>
      </a:accent6>
      <a:hlink>
        <a:srgbClr val="1D1D1F"/>
      </a:hlink>
      <a:folHlink>
        <a:srgbClr val="6E6E73"/>
      </a:folHlink>
    </a:clrScheme>
    <a:fontScheme name="Apple System Fonts">
      <a:majorFont>
        <a:latin typeface="Helvetica Neue"/>
        <a:ea typeface="PingFang SC"/>
        <a:cs typeface="Helvetica Neue"/>
        <a:font script="Jpan" typeface="Hiragino Sans"/>
        <a:font script="Hang" typeface="Helvetica Neue"/>
        <a:font script="Hans" typeface="PingFang SC"/>
        <a:font script="Hant" typeface="PingFang SC"/>
        <a:font script="Arab" typeface="Helvetica Neue"/>
        <a:font script="Hebr" typeface="Helvetica Neue"/>
        <a:font script="Thai" typeface="Helvetica Neue"/>
        <a:font script="Ethi" typeface="Helvetica Neue"/>
        <a:font script="Beng" typeface="Helvetica Neue"/>
        <a:font script="Gujr" typeface="Helvetica Neue"/>
        <a:font script="Khmr" typeface="Helvetica Neue"/>
        <a:font script="Knda" typeface="Helvetica Neue"/>
        <a:font script="Guru" typeface="Helvetica Neue"/>
        <a:font script="Cans" typeface="Helvetica Neue"/>
        <a:font script="Cher" typeface="Helvetica Neue"/>
        <a:font script="Yiii" typeface="Helvetica Neue"/>
        <a:font script="Tibt" typeface="Helvetica Neue"/>
        <a:font script="Thaa" typeface="Helvetica Neue"/>
        <a:font script="Deva" typeface="Helvetica Neue"/>
        <a:font script="Telu" typeface="Helvetica Neue"/>
        <a:font script="Taml" typeface="Helvetica Neue"/>
        <a:font script="Syrc" typeface="Helvetica Neue"/>
        <a:font script="Orya" typeface="Helvetica Neue"/>
        <a:font script="Mlym" typeface="Helvetica Neue"/>
        <a:font script="Laoo" typeface="Helvetica Neue"/>
        <a:font script="Sinh" typeface="Helvetica Neue"/>
        <a:font script="Mong" typeface="Helvetica Neue"/>
        <a:font script="Viet" typeface="Helvetica Neue"/>
        <a:font script="Uigh" typeface="Helvetica Neue"/>
        <a:font script="Geor" typeface="Helvetica Neue"/>
      </a:majorFont>
      <a:minorFont>
        <a:latin typeface="Helvetica Neue"/>
        <a:ea typeface="PingFang SC"/>
        <a:cs typeface="Helvetica Neue"/>
        <a:font script="Jpan" typeface="Hiragino Sans"/>
        <a:font script="Hang" typeface="Helvetica Neue"/>
        <a:font script="Hans" typeface="PingFang SC"/>
        <a:font script="Hant" typeface="PingFang SC"/>
        <a:font script="Arab" typeface="Helvetica Neue"/>
        <a:font script="Hebr" typeface="Helvetica Neue"/>
        <a:font script="Thai" typeface="Helvetica Neue"/>
        <a:font script="Ethi" typeface="Helvetica Neue"/>
        <a:font script="Beng" typeface="Helvetica Neue"/>
        <a:font script="Gujr" typeface="Helvetica Neue"/>
        <a:font script="Khmr" typeface="Helvetica Neue"/>
        <a:font script="Knda" typeface="Helvetica Neue"/>
        <a:font script="Guru" typeface="Helvetica Neue"/>
        <a:font script="Cans" typeface="Helvetica Neue"/>
        <a:font script="Cher" typeface="Helvetica Neue"/>
        <a:font script="Yiii" typeface="Helvetica Neue"/>
        <a:font script="Tibt" typeface="Helvetica Neue"/>
        <a:font script="Thaa" typeface="Helvetica Neue"/>
        <a:font script="Deva" typeface="Helvetica Neue"/>
        <a:font script="Telu" typeface="Helvetica Neue"/>
        <a:font script="Taml" typeface="Helvetica Neue"/>
        <a:font script="Syrc" typeface="Helvetica Neue"/>
        <a:font script="Orya" typeface="Helvetica Neue"/>
        <a:font script="Mlym" typeface="Helvetica Neue"/>
        <a:font script="Laoo" typeface="Helvetica Neue"/>
        <a:font script="Sinh" typeface="Helvetica Neue"/>
        <a:font script="Mong" typeface="Helvetica Neue"/>
        <a:font script="Viet" typeface="Helvetica Neue"/>
        <a:font script="Uigh" typeface="Helvetica Neue"/>
        <a:font script="Geor"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