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vestor-rights-agreement-template"/>
    <w:p>
      <w:pPr>
        <w:pStyle w:val="Heading2"/>
      </w:pPr>
      <w:r>
        <w:t xml:space="preserve">Investor Rights Agreement Template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Investor Rights Agreement (“Agreement”) is entered into on [Date], by and between:</w:t>
      </w:r>
    </w:p>
    <w:p>
      <w:pPr>
        <w:pStyle w:val="BodyText"/>
      </w:pPr>
      <w:r>
        <w:rPr>
          <w:b/>
          <w:bCs/>
        </w:rPr>
        <w:t xml:space="preserve">Company:</w:t>
      </w:r>
      <w:r>
        <w:t xml:space="preserve"> </w:t>
      </w:r>
      <w:r>
        <w:t xml:space="preserve">[Company Name]</w:t>
      </w:r>
      <w:r>
        <w:br/>
      </w:r>
      <w:r>
        <w:t xml:space="preserve">Address: [Address]</w:t>
      </w:r>
      <w:r>
        <w:br/>
      </w:r>
      <w:r>
        <w:t xml:space="preserve">Contact: [Phone, Email]</w:t>
      </w:r>
    </w:p>
    <w:p>
      <w:pPr>
        <w:pStyle w:val="BodyText"/>
      </w:pPr>
      <w:r>
        <w:rPr>
          <w:b/>
          <w:bCs/>
        </w:rPr>
        <w:t xml:space="preserve">Investors:</w:t>
      </w:r>
      <w:r>
        <w:t xml:space="preserve"> </w:t>
      </w:r>
      <w:r>
        <w:t xml:space="preserve">[List Names/Entities of Investors]</w:t>
      </w:r>
      <w:r>
        <w:br/>
      </w:r>
      <w:r>
        <w:t xml:space="preserve">Address: [Addresses]</w:t>
      </w:r>
      <w:r>
        <w:br/>
      </w:r>
      <w:r>
        <w:t xml:space="preserve">Contact: [Phone, Email]</w:t>
      </w:r>
    </w:p>
    <w:p>
      <w:pPr>
        <w:pStyle w:val="BodyText"/>
      </w:pPr>
      <w:r>
        <w:t xml:space="preserve">Together referred to as the “Parties.”</w:t>
      </w:r>
    </w:p>
    <w:p>
      <w:pPr>
        <w:pStyle w:val="BodyText"/>
      </w:pPr>
      <w:r>
        <w:br/>
      </w:r>
    </w:p>
    <w:bookmarkStart w:id="9" w:name="purpose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Agreement is designed to protect investor rights and define the relationship between the Company and its investors, including governance, reporting, and exit rights.</w:t>
      </w:r>
    </w:p>
    <w:p>
      <w:pPr>
        <w:pStyle w:val="BodyText"/>
      </w:pPr>
      <w:r>
        <w:br/>
      </w:r>
    </w:p>
    <w:bookmarkEnd w:id="9"/>
    <w:bookmarkStart w:id="10" w:name="information-rights"/>
    <w:p>
      <w:pPr>
        <w:pStyle w:val="Heading3"/>
      </w:pPr>
      <w:r>
        <w:t xml:space="preserve">2. Information Rights</w:t>
      </w:r>
    </w:p>
    <w:p>
      <w:pPr>
        <w:numPr>
          <w:ilvl w:val="0"/>
          <w:numId w:val="1001"/>
        </w:numPr>
      </w:pPr>
      <w:r>
        <w:t xml:space="preserve">The Company shall provide investors with quarterly and annual financial statements, budgets, and any material updates.</w:t>
      </w:r>
    </w:p>
    <w:p>
      <w:pPr>
        <w:numPr>
          <w:ilvl w:val="0"/>
          <w:numId w:val="1001"/>
        </w:numPr>
      </w:pPr>
      <w:r>
        <w:t xml:space="preserve">Investors may request reasonable access to company records and management discussions.</w:t>
      </w:r>
    </w:p>
    <w:p>
      <w:pPr>
        <w:pStyle w:val="FirstParagraph"/>
      </w:pPr>
      <w:r>
        <w:br/>
      </w:r>
    </w:p>
    <w:bookmarkEnd w:id="10"/>
    <w:bookmarkStart w:id="11" w:name="preemptive-rights"/>
    <w:p>
      <w:pPr>
        <w:pStyle w:val="Heading3"/>
      </w:pPr>
      <w:r>
        <w:t xml:space="preserve">3. Preemptive Rights</w:t>
      </w:r>
    </w:p>
    <w:p>
      <w:pPr>
        <w:numPr>
          <w:ilvl w:val="0"/>
          <w:numId w:val="1002"/>
        </w:numPr>
      </w:pPr>
      <w:r>
        <w:t xml:space="preserve">Investors shall have the right to participate in future financing rounds to maintain their ownership percentage.</w:t>
      </w:r>
    </w:p>
    <w:p>
      <w:pPr>
        <w:numPr>
          <w:ilvl w:val="0"/>
          <w:numId w:val="1002"/>
        </w:numPr>
      </w:pPr>
      <w:r>
        <w:t xml:space="preserve">Exceptions to preemptive rights must be specified (e.g., employee stock option pools).</w:t>
      </w:r>
    </w:p>
    <w:p>
      <w:pPr>
        <w:pStyle w:val="FirstParagraph"/>
      </w:pPr>
      <w:r>
        <w:br/>
      </w:r>
    </w:p>
    <w:bookmarkEnd w:id="11"/>
    <w:bookmarkStart w:id="12" w:name="Xf0a2b031204ae00ea04ac3ee4a3464ef803a6cf"/>
    <w:p>
      <w:pPr>
        <w:pStyle w:val="Heading3"/>
      </w:pPr>
      <w:r>
        <w:t xml:space="preserve">4. Registration Rights (if applicable to public offering)</w:t>
      </w:r>
    </w:p>
    <w:p>
      <w:pPr>
        <w:numPr>
          <w:ilvl w:val="0"/>
          <w:numId w:val="1003"/>
        </w:numPr>
      </w:pPr>
      <w:r>
        <w:t xml:space="preserve">Investors shall have demand registration rights to compel the Company to register shares for public sale.</w:t>
      </w:r>
    </w:p>
    <w:p>
      <w:pPr>
        <w:numPr>
          <w:ilvl w:val="0"/>
          <w:numId w:val="1003"/>
        </w:numPr>
      </w:pPr>
      <w:r>
        <w:t xml:space="preserve">Investors shall also have piggyback registration rights when the Company files for an offering.</w:t>
      </w:r>
    </w:p>
    <w:p>
      <w:pPr>
        <w:pStyle w:val="FirstParagraph"/>
      </w:pPr>
      <w:r>
        <w:br/>
      </w:r>
    </w:p>
    <w:bookmarkEnd w:id="12"/>
    <w:bookmarkStart w:id="13" w:name="board-representation"/>
    <w:p>
      <w:pPr>
        <w:pStyle w:val="Heading3"/>
      </w:pPr>
      <w:r>
        <w:t xml:space="preserve">5. Board Representation</w:t>
      </w:r>
    </w:p>
    <w:p>
      <w:pPr>
        <w:numPr>
          <w:ilvl w:val="0"/>
          <w:numId w:val="1004"/>
        </w:numPr>
      </w:pPr>
      <w:r>
        <w:t xml:space="preserve">Investors holding at least [X%] of outstanding shares may appoint [1] director to the Company’s Board.</w:t>
      </w:r>
    </w:p>
    <w:p>
      <w:pPr>
        <w:numPr>
          <w:ilvl w:val="0"/>
          <w:numId w:val="1004"/>
        </w:numPr>
      </w:pPr>
      <w:r>
        <w:t xml:space="preserve">Observer rights may also be granted to investors without formal board seats.</w:t>
      </w:r>
    </w:p>
    <w:p>
      <w:pPr>
        <w:pStyle w:val="FirstParagraph"/>
      </w:pPr>
      <w:r>
        <w:br/>
      </w:r>
    </w:p>
    <w:bookmarkEnd w:id="13"/>
    <w:bookmarkStart w:id="14" w:name="transfer-restrictions"/>
    <w:p>
      <w:pPr>
        <w:pStyle w:val="Heading3"/>
      </w:pPr>
      <w:r>
        <w:t xml:space="preserve">6. Transfer Restrictions</w:t>
      </w:r>
    </w:p>
    <w:p>
      <w:pPr>
        <w:numPr>
          <w:ilvl w:val="0"/>
          <w:numId w:val="1005"/>
        </w:numPr>
      </w:pPr>
      <w:r>
        <w:t xml:space="preserve">Shares may not be transferred without compliance with securities laws and the Company’s approval.</w:t>
      </w:r>
    </w:p>
    <w:p>
      <w:pPr>
        <w:numPr>
          <w:ilvl w:val="0"/>
          <w:numId w:val="1005"/>
        </w:numPr>
      </w:pPr>
      <w:r>
        <w:t xml:space="preserve">Right of First Refusal (ROFR): The Company or other investors shall have the right to purchase shares before third parties.</w:t>
      </w:r>
    </w:p>
    <w:p>
      <w:pPr>
        <w:pStyle w:val="FirstParagraph"/>
      </w:pPr>
      <w:r>
        <w:br/>
      </w:r>
    </w:p>
    <w:bookmarkEnd w:id="14"/>
    <w:bookmarkStart w:id="15" w:name="protective-provisions"/>
    <w:p>
      <w:pPr>
        <w:pStyle w:val="Heading3"/>
      </w:pPr>
      <w:r>
        <w:t xml:space="preserve">7. Protective Provisions</w:t>
      </w:r>
    </w:p>
    <w:p>
      <w:pPr>
        <w:pStyle w:val="FirstParagraph"/>
      </w:pPr>
      <w:r>
        <w:t xml:space="preserve">The following actions require investor consent:</w:t>
      </w:r>
    </w:p>
    <w:p>
      <w:pPr>
        <w:numPr>
          <w:ilvl w:val="0"/>
          <w:numId w:val="1006"/>
        </w:numPr>
      </w:pPr>
      <w:r>
        <w:t xml:space="preserve">Issuance of new classes of stock</w:t>
      </w:r>
    </w:p>
    <w:p>
      <w:pPr>
        <w:numPr>
          <w:ilvl w:val="0"/>
          <w:numId w:val="1006"/>
        </w:numPr>
      </w:pPr>
      <w:r>
        <w:t xml:space="preserve">Amendments to the Company’s charter that affect investor rights</w:t>
      </w:r>
    </w:p>
    <w:p>
      <w:pPr>
        <w:numPr>
          <w:ilvl w:val="0"/>
          <w:numId w:val="1006"/>
        </w:numPr>
      </w:pPr>
      <w:r>
        <w:t xml:space="preserve">Sale, merger, or dissolution of the Company</w:t>
      </w:r>
    </w:p>
    <w:p>
      <w:pPr>
        <w:pStyle w:val="FirstParagraph"/>
      </w:pPr>
      <w:r>
        <w:br/>
      </w:r>
    </w:p>
    <w:bookmarkEnd w:id="15"/>
    <w:bookmarkStart w:id="16" w:name="exit-rights"/>
    <w:p>
      <w:pPr>
        <w:pStyle w:val="Heading3"/>
      </w:pPr>
      <w:r>
        <w:t xml:space="preserve">8. Exit Rights</w:t>
      </w:r>
    </w:p>
    <w:p>
      <w:pPr>
        <w:numPr>
          <w:ilvl w:val="0"/>
          <w:numId w:val="1007"/>
        </w:numPr>
      </w:pPr>
      <w:r>
        <w:t xml:space="preserve">Investors may require the Company to pursue an exit strategy after [X years].</w:t>
      </w:r>
    </w:p>
    <w:p>
      <w:pPr>
        <w:numPr>
          <w:ilvl w:val="0"/>
          <w:numId w:val="1007"/>
        </w:numPr>
      </w:pPr>
      <w:r>
        <w:t xml:space="preserve">Drag-along rights: Minority shareholders must sell if majority investors approve a sale.</w:t>
      </w:r>
    </w:p>
    <w:p>
      <w:pPr>
        <w:numPr>
          <w:ilvl w:val="0"/>
          <w:numId w:val="1007"/>
        </w:numPr>
      </w:pPr>
      <w:r>
        <w:t xml:space="preserve">Tag-along rights: Minority investors may sell on the same terms as majority investors.</w:t>
      </w:r>
    </w:p>
    <w:p>
      <w:pPr>
        <w:pStyle w:val="FirstParagraph"/>
      </w:pPr>
      <w:r>
        <w:br/>
      </w:r>
    </w:p>
    <w:bookmarkEnd w:id="16"/>
    <w:bookmarkStart w:id="17" w:name="confidentiality"/>
    <w:p>
      <w:pPr>
        <w:pStyle w:val="Heading3"/>
      </w:pPr>
      <w:r>
        <w:t xml:space="preserve">9. Confidentiality</w:t>
      </w:r>
    </w:p>
    <w:p>
      <w:pPr>
        <w:pStyle w:val="FirstParagraph"/>
      </w:pPr>
      <w:r>
        <w:t xml:space="preserve">Investors shall keep all confidential business information obtained from the Company secure and not disclose it without consent.</w:t>
      </w:r>
    </w:p>
    <w:p>
      <w:pPr>
        <w:pStyle w:val="BodyText"/>
      </w:pPr>
      <w:r>
        <w:br/>
      </w:r>
    </w:p>
    <w:bookmarkEnd w:id="17"/>
    <w:bookmarkStart w:id="18" w:name="governing-law"/>
    <w:p>
      <w:pPr>
        <w:pStyle w:val="Heading3"/>
      </w:pPr>
      <w:r>
        <w:t xml:space="preserve">10. Governing Law</w:t>
      </w:r>
    </w:p>
    <w:p>
      <w:pPr>
        <w:pStyle w:val="FirstParagraph"/>
      </w:pPr>
      <w:r>
        <w:t xml:space="preserve">This Agreement shall be governed by the laws of [State/Country].</w:t>
      </w:r>
    </w:p>
    <w:p>
      <w:pPr>
        <w:pStyle w:val="BodyText"/>
      </w:pPr>
      <w:r>
        <w:br/>
      </w:r>
    </w:p>
    <w:bookmarkEnd w:id="18"/>
    <w:bookmarkStart w:id="19" w:name="entire-agreement"/>
    <w:p>
      <w:pPr>
        <w:pStyle w:val="Heading3"/>
      </w:pPr>
      <w:r>
        <w:t xml:space="preserve">11. Entire Agreement</w:t>
      </w:r>
    </w:p>
    <w:p>
      <w:pPr>
        <w:pStyle w:val="FirstParagraph"/>
      </w:pPr>
      <w:r>
        <w:t xml:space="preserve">This document represents the full understanding of the Parties and supersedes prior negotiations.</w:t>
      </w:r>
    </w:p>
    <w:p>
      <w:pPr>
        <w:pStyle w:val="BodyText"/>
      </w:pPr>
      <w:r>
        <w:br/>
      </w:r>
    </w:p>
    <w:bookmarkEnd w:id="19"/>
    <w:bookmarkStart w:id="20" w:name="signatures"/>
    <w:p>
      <w:pPr>
        <w:pStyle w:val="Heading3"/>
      </w:pPr>
      <w:r>
        <w:t xml:space="preserve">Signatures</w:t>
      </w:r>
    </w:p>
    <w:p>
      <w:pPr>
        <w:pStyle w:val="FirstParagraph"/>
      </w:pPr>
      <w:r>
        <w:t xml:space="preserve">Company: ____________________________ Date: _________</w:t>
      </w:r>
      <w:r>
        <w:br/>
      </w:r>
      <w:r>
        <w:t xml:space="preserve">Name/Title: _________________________________________</w:t>
      </w:r>
    </w:p>
    <w:p>
      <w:pPr>
        <w:pStyle w:val="BodyText"/>
      </w:pPr>
      <w:r>
        <w:t xml:space="preserve">Investor(s): __________________________ Date: _________</w:t>
      </w:r>
      <w:r>
        <w:br/>
      </w:r>
      <w:r>
        <w:t xml:space="preserve">Name/Entity: ________________________________________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2025-10-09T17:48:31Z</dcterms:created>
  <dcterms:modified xsi:type="dcterms:W3CDTF">2025-10-09T17:48:31Z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