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formation-security-policy-template"/>
    <w:p>
      <w:pPr>
        <w:pStyle w:val="Heading2"/>
      </w:pPr>
      <w:r>
        <w:t xml:space="preserve">Information Security Policy Template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[Company Name]</w:t>
      </w:r>
      <w:r>
        <w:br/>
      </w:r>
      <w:r>
        <w:t xml:space="preserve">Information Security Policy</w:t>
      </w:r>
      <w:r>
        <w:br/>
      </w:r>
      <w:r>
        <w:t xml:space="preserve">Effective Date: [MM/DD/YYYY]</w:t>
      </w:r>
      <w:r>
        <w:br/>
      </w:r>
      <w:r>
        <w:t xml:space="preserve">Prepared by: [Department/IT/Compliance]</w:t>
      </w:r>
    </w:p>
    <w:p>
      <w:pPr>
        <w:pStyle w:val="BodyText"/>
      </w:pPr>
      <w:r>
        <w:br/>
      </w:r>
    </w:p>
    <w:bookmarkStart w:id="9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Information Security Policy is to establish rules and practices to protect [Company Name]’s data, IT systems, and infrastructure from unauthorized access, loss, or compromise.</w:t>
      </w:r>
    </w:p>
    <w:p>
      <w:pPr>
        <w:pStyle w:val="BodyText"/>
      </w:pPr>
      <w:r>
        <w:br/>
      </w:r>
    </w:p>
    <w:bookmarkEnd w:id="9"/>
    <w:bookmarkStart w:id="10" w:name="scope"/>
    <w:p>
      <w:pPr>
        <w:pStyle w:val="Heading3"/>
      </w:pPr>
      <w:r>
        <w:t xml:space="preserve">2. Scope</w:t>
      </w:r>
    </w:p>
    <w:p>
      <w:pPr>
        <w:pStyle w:val="FirstParagraph"/>
      </w:pPr>
      <w:r>
        <w:t xml:space="preserve">This policy applies to all employees, contractors, consultants, and third-party vendors with access to company information, systems, or networks.</w:t>
      </w:r>
    </w:p>
    <w:p>
      <w:pPr>
        <w:pStyle w:val="BodyText"/>
      </w:pPr>
      <w:r>
        <w:br/>
      </w:r>
    </w:p>
    <w:bookmarkEnd w:id="10"/>
    <w:bookmarkStart w:id="11" w:name="roles-and-responsibilities"/>
    <w:p>
      <w:pPr>
        <w:pStyle w:val="Heading3"/>
      </w:pPr>
      <w:r>
        <w:t xml:space="preserve">3. Roles and Responsibilities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Ensure resources and oversight for implementation.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Follow security protocols and report incidents.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 Department:</w:t>
      </w:r>
      <w:r>
        <w:t xml:space="preserve"> </w:t>
      </w:r>
      <w:r>
        <w:t xml:space="preserve">Maintain security systems, monitor compliance, and respond to incidents.</w:t>
      </w:r>
    </w:p>
    <w:p>
      <w:pPr>
        <w:pStyle w:val="FirstParagraph"/>
      </w:pPr>
      <w:r>
        <w:br/>
      </w:r>
    </w:p>
    <w:bookmarkEnd w:id="11"/>
    <w:bookmarkStart w:id="12" w:name="access-control"/>
    <w:p>
      <w:pPr>
        <w:pStyle w:val="Heading3"/>
      </w:pPr>
      <w:r>
        <w:t xml:space="preserve">4. Access Control</w:t>
      </w:r>
    </w:p>
    <w:p>
      <w:pPr>
        <w:numPr>
          <w:ilvl w:val="0"/>
          <w:numId w:val="1002"/>
        </w:numPr>
      </w:pPr>
      <w:r>
        <w:t xml:space="preserve">Access is granted on a least-privilege basis.</w:t>
      </w:r>
    </w:p>
    <w:p>
      <w:pPr>
        <w:numPr>
          <w:ilvl w:val="0"/>
          <w:numId w:val="1002"/>
        </w:numPr>
      </w:pPr>
      <w:r>
        <w:t xml:space="preserve">Strong passwords and multi-factor authentication must be used.</w:t>
      </w:r>
    </w:p>
    <w:p>
      <w:pPr>
        <w:numPr>
          <w:ilvl w:val="0"/>
          <w:numId w:val="1002"/>
        </w:numPr>
      </w:pPr>
      <w:r>
        <w:t xml:space="preserve">User accounts are terminated immediately upon employment end.</w:t>
      </w:r>
    </w:p>
    <w:p>
      <w:pPr>
        <w:pStyle w:val="FirstParagraph"/>
      </w:pPr>
      <w:r>
        <w:br/>
      </w:r>
    </w:p>
    <w:bookmarkEnd w:id="12"/>
    <w:bookmarkStart w:id="13" w:name="acceptable-use"/>
    <w:p>
      <w:pPr>
        <w:pStyle w:val="Heading3"/>
      </w:pPr>
      <w:r>
        <w:t xml:space="preserve">5. Acceptable Use</w:t>
      </w:r>
    </w:p>
    <w:p>
      <w:pPr>
        <w:numPr>
          <w:ilvl w:val="0"/>
          <w:numId w:val="1003"/>
        </w:numPr>
      </w:pPr>
      <w:r>
        <w:t xml:space="preserve">Company devices and networks must be used responsibly and only for authorized purposes.</w:t>
      </w:r>
    </w:p>
    <w:p>
      <w:pPr>
        <w:numPr>
          <w:ilvl w:val="0"/>
          <w:numId w:val="1003"/>
        </w:numPr>
      </w:pPr>
      <w:r>
        <w:t xml:space="preserve">Unauthorized software or hardware installation is prohibited.</w:t>
      </w:r>
    </w:p>
    <w:p>
      <w:pPr>
        <w:numPr>
          <w:ilvl w:val="0"/>
          <w:numId w:val="1003"/>
        </w:numPr>
      </w:pPr>
      <w:r>
        <w:t xml:space="preserve">Email and internet usage must align with company guidelines.</w:t>
      </w:r>
    </w:p>
    <w:p>
      <w:pPr>
        <w:pStyle w:val="FirstParagraph"/>
      </w:pPr>
      <w:r>
        <w:br/>
      </w:r>
    </w:p>
    <w:bookmarkEnd w:id="13"/>
    <w:bookmarkStart w:id="14" w:name="data-protection"/>
    <w:p>
      <w:pPr>
        <w:pStyle w:val="Heading3"/>
      </w:pPr>
      <w:r>
        <w:t xml:space="preserve">6. Data Protection</w:t>
      </w:r>
    </w:p>
    <w:p>
      <w:pPr>
        <w:numPr>
          <w:ilvl w:val="0"/>
          <w:numId w:val="1004"/>
        </w:numPr>
      </w:pPr>
      <w:r>
        <w:t xml:space="preserve">Sensitive information must be encrypted in transit and at rest.</w:t>
      </w:r>
    </w:p>
    <w:p>
      <w:pPr>
        <w:numPr>
          <w:ilvl w:val="0"/>
          <w:numId w:val="1004"/>
        </w:numPr>
      </w:pPr>
      <w:r>
        <w:t xml:space="preserve">Confidential data must not be stored on personal devices.</w:t>
      </w:r>
    </w:p>
    <w:p>
      <w:pPr>
        <w:numPr>
          <w:ilvl w:val="0"/>
          <w:numId w:val="1004"/>
        </w:numPr>
      </w:pPr>
      <w:r>
        <w:t xml:space="preserve">Backups must be performed regularly and tested for reliability.</w:t>
      </w:r>
    </w:p>
    <w:p>
      <w:pPr>
        <w:pStyle w:val="FirstParagraph"/>
      </w:pPr>
      <w:r>
        <w:br/>
      </w:r>
    </w:p>
    <w:bookmarkEnd w:id="14"/>
    <w:bookmarkStart w:id="15" w:name="physical-security"/>
    <w:p>
      <w:pPr>
        <w:pStyle w:val="Heading3"/>
      </w:pPr>
      <w:r>
        <w:t xml:space="preserve">7. Physical Security</w:t>
      </w:r>
    </w:p>
    <w:p>
      <w:pPr>
        <w:numPr>
          <w:ilvl w:val="0"/>
          <w:numId w:val="1005"/>
        </w:numPr>
      </w:pPr>
      <w:r>
        <w:t xml:space="preserve">Access to server rooms, data centers, and sensitive areas is restricted.</w:t>
      </w:r>
    </w:p>
    <w:p>
      <w:pPr>
        <w:numPr>
          <w:ilvl w:val="0"/>
          <w:numId w:val="1005"/>
        </w:numPr>
      </w:pPr>
      <w:r>
        <w:t xml:space="preserve">Visitors must be escorted and logged at all times.</w:t>
      </w:r>
    </w:p>
    <w:p>
      <w:pPr>
        <w:pStyle w:val="FirstParagraph"/>
      </w:pPr>
      <w:r>
        <w:br/>
      </w:r>
    </w:p>
    <w:bookmarkEnd w:id="15"/>
    <w:bookmarkStart w:id="16" w:name="incident-response"/>
    <w:p>
      <w:pPr>
        <w:pStyle w:val="Heading3"/>
      </w:pPr>
      <w:r>
        <w:t xml:space="preserve">8. Incident Response</w:t>
      </w:r>
    </w:p>
    <w:p>
      <w:pPr>
        <w:numPr>
          <w:ilvl w:val="0"/>
          <w:numId w:val="1006"/>
        </w:numPr>
      </w:pPr>
      <w:r>
        <w:t xml:space="preserve">All employees must report suspected breaches or security incidents immediately.</w:t>
      </w:r>
    </w:p>
    <w:p>
      <w:pPr>
        <w:numPr>
          <w:ilvl w:val="0"/>
          <w:numId w:val="1006"/>
        </w:numPr>
      </w:pPr>
      <w:r>
        <w:t xml:space="preserve">The IT Department will investigate and respond following the company’s Incident Response Plan.</w:t>
      </w:r>
    </w:p>
    <w:p>
      <w:pPr>
        <w:pStyle w:val="FirstParagraph"/>
      </w:pPr>
      <w:r>
        <w:br/>
      </w:r>
    </w:p>
    <w:bookmarkEnd w:id="16"/>
    <w:bookmarkStart w:id="17" w:name="third-party-security"/>
    <w:p>
      <w:pPr>
        <w:pStyle w:val="Heading3"/>
      </w:pPr>
      <w:r>
        <w:t xml:space="preserve">9. Third-Party Security</w:t>
      </w:r>
    </w:p>
    <w:p>
      <w:pPr>
        <w:pStyle w:val="FirstParagraph"/>
      </w:pPr>
      <w:r>
        <w:t xml:space="preserve">Vendors and partners must comply with company security requirements and undergo periodic risk assessments.</w:t>
      </w:r>
    </w:p>
    <w:p>
      <w:pPr>
        <w:pStyle w:val="BodyText"/>
      </w:pPr>
      <w:r>
        <w:br/>
      </w:r>
    </w:p>
    <w:bookmarkEnd w:id="17"/>
    <w:bookmarkStart w:id="18" w:name="enforcement"/>
    <w:p>
      <w:pPr>
        <w:pStyle w:val="Heading3"/>
      </w:pPr>
      <w:r>
        <w:t xml:space="preserve">10. Enforcement</w:t>
      </w:r>
    </w:p>
    <w:p>
      <w:pPr>
        <w:pStyle w:val="FirstParagraph"/>
      </w:pPr>
      <w:r>
        <w:t xml:space="preserve">Non-compliance may result in disciplinary action up to termination, in addition to legal penalties if applicable.</w:t>
      </w:r>
    </w:p>
    <w:p>
      <w:pPr>
        <w:pStyle w:val="BodyText"/>
      </w:pPr>
      <w:r>
        <w:br/>
      </w:r>
    </w:p>
    <w:bookmarkEnd w:id="18"/>
    <w:bookmarkStart w:id="19" w:name="review-and-updates"/>
    <w:p>
      <w:pPr>
        <w:pStyle w:val="Heading3"/>
      </w:pPr>
      <w:r>
        <w:t xml:space="preserve">11. Review and Updates</w:t>
      </w:r>
    </w:p>
    <w:p>
      <w:pPr>
        <w:pStyle w:val="FirstParagraph"/>
      </w:pPr>
      <w:r>
        <w:t xml:space="preserve">This policy will be reviewed annually or as needed to reflect new threats, business changes, and regulatory requirements.</w:t>
      </w:r>
    </w:p>
    <w:p>
      <w:pPr>
        <w:pStyle w:val="BodyText"/>
      </w:pPr>
      <w:r>
        <w:br/>
      </w:r>
    </w:p>
    <w:bookmarkEnd w:id="19"/>
    <w:bookmarkStart w:id="20" w:name="acknowledgment-of-receipt"/>
    <w:p>
      <w:pPr>
        <w:pStyle w:val="Heading3"/>
      </w:pPr>
      <w:r>
        <w:t xml:space="preserve">Acknowledgment of Receipt</w:t>
      </w:r>
    </w:p>
    <w:p>
      <w:pPr>
        <w:pStyle w:val="FirstParagraph"/>
      </w:pPr>
      <w:r>
        <w:t xml:space="preserve">I acknowledge that I have read and understood the Information Security Policy of [Company Name] and agree to comply with its provisions.</w:t>
      </w:r>
    </w:p>
    <w:p>
      <w:pPr>
        <w:pStyle w:val="BodyText"/>
      </w:pPr>
      <w:r>
        <w:t xml:space="preserve">Employee Signature: _____________________ Date: ___________</w:t>
      </w:r>
      <w:r>
        <w:br/>
      </w:r>
      <w:r>
        <w:t xml:space="preserve">Name: __________________________________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2025-10-09T17:48:12Z</dcterms:created>
  <dcterms:modified xsi:type="dcterms:W3CDTF">2025-10-09T17:48:12Z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