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Практическая работа 5. Кластеризация клиентов банка</w:t>
      </w:r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Формулировка задания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Разработайте программу, которая выполняет кластеризацию заданного набора данных с помощью алгоритмов k-Means и k-Medoids. Параметрами программы являются набор данных и число кластеров. Программа должна выдавать координаты точек и назначенные им кластеры, а также значение ошибки кластеризации.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Проведите эксперименты на наборе данных customers (сведения о клиентах банка). Выполните визуализацию: точечный график, на котором цвет точки отражает принадлежность кластеру, и зависимость ошибки кластеризации от параметра k.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Доработайте программу, добавив в список её параметров долю зашумленных объектов. Программа должна случайным образом изменить заданную долю объектов: добавить или вычесть случайное число у одной или нескольких координат. Проведите эксперименты, варьируя долю зашумленных объектов (1%, 3%, 5%, 10%) и число кластеров k из интервала от 3 до 9. Постройте те же диаграммы.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</w:t>
      </w:r>
    </w:p>
    <w:p>
      <w:pPr>
        <w:spacing w:line="360" w:lineRule="auto" w:after="40" w:before="0"/>
        <w:ind w:left="709"/>
        <w:jc w:val="both"/>
      </w:pPr>
      <w:r>
        <w:rPr>
          <w:rFonts w:ascii="Times New Roman" w:hAnsi="Times New Roman" w:eastAsia="Times New Roman"/>
          <w:b w:val="0"/>
          <w:sz w:val="28"/>
        </w:rPr>
        <w:t>– формулировка задания;</w:t>
      </w:r>
    </w:p>
    <w:p>
      <w:pPr>
        <w:spacing w:line="360" w:lineRule="auto" w:after="40" w:before="0"/>
        <w:ind w:left="709"/>
        <w:jc w:val="both"/>
      </w:pPr>
      <w:r>
        <w:rPr>
          <w:rFonts w:ascii="Times New Roman" w:hAnsi="Times New Roman" w:eastAsia="Times New Roman"/>
          <w:b w:val="0"/>
          <w:sz w:val="28"/>
        </w:rPr>
        <w:t>– гиперссылка на каталог репозитория с исходными текстами, наборами данных и др. сопутствующими материалами;</w:t>
      </w:r>
    </w:p>
    <w:p>
      <w:pPr>
        <w:spacing w:line="360" w:lineRule="auto" w:after="40" w:before="0"/>
        <w:ind w:left="709"/>
        <w:jc w:val="both"/>
      </w:pPr>
      <w:r>
        <w:rPr>
          <w:rFonts w:ascii="Times New Roman" w:hAnsi="Times New Roman" w:eastAsia="Times New Roman"/>
          <w:b w:val="0"/>
          <w:sz w:val="28"/>
        </w:rPr>
        <w:t>– рисунки с результатами визуализации;</w:t>
      </w:r>
    </w:p>
    <w:p>
      <w:pPr>
        <w:spacing w:line="360" w:lineRule="auto" w:after="40" w:before="0"/>
        <w:ind w:left="709"/>
        <w:jc w:val="both"/>
      </w:pPr>
      <w:r>
        <w:rPr>
          <w:rFonts w:ascii="Times New Roman" w:hAnsi="Times New Roman" w:eastAsia="Times New Roman"/>
          <w:b w:val="0"/>
          <w:sz w:val="28"/>
        </w:rPr>
        <w:t>– пояснения, раскрывающие смысл полученных результатов.</w:t>
      </w:r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Гиперссылка на репозиторий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 xml:space="preserve">Репозиторий с исходными текстами, набором данных и сопутствующими материалами (каталог lab5/): </w:t>
      </w:r>
      <w:hyperlink r:id="rId9">
        <w:r>
          <w:rPr>
            <w:color w:val="0563C1"/>
            <w:u w:val="single"/>
            <w:sz w:val="28"/>
            <w:szCs w:val="28"/>
            <w:rFonts w:ascii="Times New Roman" w:hAnsi="Times New Roman" w:cs="Times New Roman"/>
          </w:rPr>
          <w:t>https://github.com/shibapc/int-analysis-of-data</w:t>
        </w:r>
      </w:hyperlink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Набор данных и метод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Набор customers содержит 850 клиентов банка. Для расстояния взяты семь признаков: возраст, код образования (1–5), стаж, годовой доход в тысячах долларов, долг по карте, прочие долги и отношение долга к доходу. Порядковый номер строки и идентификатор клиента в расстояние не входят. Признак Defaulted пропущен у 150 клиентов, поэтому столбец исключён: заполнение пропусков само создало бы искусственную группу.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Перед кластеризацией каждый признак приводится к нулевому среднему и единичной дисперсии, иначе доход (размах до 446) подавил бы возраст и стаж. Ошибка k-Means — сумма квадратов евклидовых расстояний до центроида (SSE). Ошибка k-Medoids — сумма расстояний до медоида, то есть до реального клиента, ближайшего к остальным в своём кластере. Оба алгоритма запускаются 10 раз со случайной инициализацией, сохраняется лучшее разбиение. Точечные графики построены в плоскости двух первых главных компонент (44% и 21% дисперсии): в семимерном пространстве кластеры не нарисовать напрямую.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Шум вносится уже в стандартизованные координаты. У заданной доли клиентов у одной, двух или трёх случайных координат прибавляется число из равномерного распределения от −1,5 до 1,5 стандартного отклонения этого признака. Одна и та же зашумленная матрица подаётся обоим алгоритмам. Запуск: python main.py -k 6; с шумом 5% — python main.py -k 6 --noise 0.05. Серия экспериментов — python experiments.py.</w:t>
      </w:r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Сводка экспериментов</w:t>
      </w:r>
    </w:p>
    <w:p>
      <w:pPr>
        <w:keepNext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1. Ошибка на исходном наборе. Вертикальная линия на рисунках 1 и 2 отмечает k = 6: излом кривой SSE, то есть точку, дальше всего отстоящую от хорды между k = 3 и k = 9. Точечные графики построены для этого k.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k</w:t>
            </w:r>
          </w:p>
        </w:tc>
        <w:tc>
          <w:tcPr>
            <w:tcW w:type="dxa" w:w="3230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k-Means, SSE</w:t>
            </w:r>
          </w:p>
        </w:tc>
        <w:tc>
          <w:tcPr>
            <w:tcW w:type="dxa" w:w="3230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k-Medoids, сумма расстояний</w:t>
            </w:r>
          </w:p>
        </w:tc>
      </w:tr>
      <w:tr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3701</w:t>
            </w:r>
          </w:p>
        </w:tc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1591</w:t>
            </w:r>
          </w:p>
        </w:tc>
      </w:tr>
      <w:tr>
        <w:tc>
          <w:tcPr>
            <w:tcW w:type="dxa" w:w="3230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3230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3231</w:t>
            </w:r>
          </w:p>
        </w:tc>
        <w:tc>
          <w:tcPr>
            <w:tcW w:type="dxa" w:w="3230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1506</w:t>
            </w:r>
          </w:p>
        </w:tc>
      </w:tr>
      <w:tr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2869</w:t>
            </w:r>
          </w:p>
        </w:tc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1442</w:t>
            </w:r>
          </w:p>
        </w:tc>
      </w:tr>
      <w:tr>
        <w:tc>
          <w:tcPr>
            <w:tcW w:type="dxa" w:w="3230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3230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2598</w:t>
            </w:r>
          </w:p>
        </w:tc>
        <w:tc>
          <w:tcPr>
            <w:tcW w:type="dxa" w:w="3230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1381</w:t>
            </w:r>
          </w:p>
        </w:tc>
      </w:tr>
      <w:tr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2406</w:t>
            </w:r>
          </w:p>
        </w:tc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1328</w:t>
            </w:r>
          </w:p>
        </w:tc>
      </w:tr>
      <w:tr>
        <w:tc>
          <w:tcPr>
            <w:tcW w:type="dxa" w:w="3230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3230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2274</w:t>
            </w:r>
          </w:p>
        </w:tc>
        <w:tc>
          <w:tcPr>
            <w:tcW w:type="dxa" w:w="3230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1284</w:t>
            </w:r>
          </w:p>
        </w:tc>
      </w:tr>
      <w:tr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2186</w:t>
            </w:r>
          </w:p>
        </w:tc>
        <w:tc>
          <w:tcPr>
            <w:tcW w:type="dxa" w:w="3230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1278</w:t>
            </w:r>
          </w:p>
        </w:tc>
      </w:tr>
    </w:tbl>
    <w:p>
      <w:pPr>
        <w:spacing w:after="120"/>
      </w:pP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Таблица 2. Состав кластеров k-Means при k = 6. Кластеры упорядочены по среднему доходу. Образование — средний код, доход — тысячи долларов в год, «долг/доход» — проценты.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Кластер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N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Возраст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Образование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Стаж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Доход</w:t>
            </w:r>
          </w:p>
        </w:tc>
        <w:tc>
          <w:tcPr>
            <w:tcW w:type="dxa" w:w="1384"/>
            <w:shd w:val="clear" w:fill="1F4E79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20"/>
              </w:rPr>
              <w:t>Долг/доход</w:t>
            </w:r>
          </w:p>
        </w:tc>
      </w:tr>
      <w:tr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336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31.0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1.3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5.4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28.7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6.7</w:t>
            </w:r>
          </w:p>
        </w:tc>
      </w:tr>
      <w:tr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139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32.1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1.5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5.1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28.8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19.0</w:t>
            </w:r>
          </w:p>
        </w:tc>
      </w:tr>
      <w:tr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101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33.3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3.5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4.6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42.2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8.5</w:t>
            </w:r>
          </w:p>
        </w:tc>
      </w:tr>
      <w:tr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180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42.4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1.4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15.8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68.3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6.9</w:t>
            </w:r>
          </w:p>
        </w:tc>
      </w:tr>
      <w:tr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40.7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2.1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14.3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81.2</w:t>
            </w:r>
          </w:p>
        </w:tc>
        <w:tc>
          <w:tcPr>
            <w:tcW w:type="dxa" w:w="1384"/>
            <w:shd w:val="clear" w:fill="FFFFFF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17.9</w:t>
            </w:r>
          </w:p>
        </w:tc>
      </w:tr>
      <w:tr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46.3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1.9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22.6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213.1</w:t>
            </w:r>
          </w:p>
        </w:tc>
        <w:tc>
          <w:tcPr>
            <w:tcW w:type="dxa" w:w="1384"/>
            <w:shd w:val="clear" w:fill="FFFFFF"/>
            <w:shd w:val="clear" w:fill="F4F6F8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16.8</w:t>
            </w:r>
          </w:p>
        </w:tc>
      </w:tr>
    </w:tbl>
    <w:p>
      <w:pPr>
        <w:spacing w:after="120"/>
      </w:pP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k-Medoids при том же k выделяет группы того же смысла. Размеры кластеров по возрастанию дохода: 271, 134, 140, 188, 107, 10. Суммарная ошибка медоидов равна 1381. Медоид — конкретный клиент, а не среднее координат. У группы из 10 самых обеспеченных клиентов средний доход 207 тыс. $, а медоид — клиент с доходом 136 тыс. $: среднее утягивают несколько максимальных доходов, медоид остаётся внутри группы.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Визуализация результатов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465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kmea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65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– Зависимость SSE алгоритма k-Means от числа кластеров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471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kmedoi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7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– Зависимость ошибки k-Medoids от числа кластеров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27026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02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3 – Кластеры клиентов при k = 6. Цвет точки — номер кластера, крестик — центр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523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noise_kmea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2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4 – SSE k-Means при доле зашумленных объектов 0–10%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35287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noise_kmedoi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28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5 – Ошибка k-Medoids при доле зашумленных объектов 0–10%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48495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noise_kmea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84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6 – k-Means, k = 6, при доле шума 1%, 3%, 5% и 10%</w:t>
      </w:r>
    </w:p>
    <w:p>
      <w:pPr>
        <w:spacing w:before="12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32000" cy="48495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noise_kmedoi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84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24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7 – k-Medoids, k = 6, при доле шума 1%, 3%, 5% и 10%</w:t>
      </w:r>
    </w:p>
    <w:p>
      <w:r>
        <w:br w:type="page"/>
      </w:r>
    </w:p>
    <w:p>
      <w:pPr>
        <w:keepNext/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Смысл полученных результатов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Ошибка обоих алгоритмов падает с ростом k: у k-Means SSE снижается с 3701 при трёх кластерах до 2186 при девяти, у k-Medoids — с 1591 до 1278. Так и должно быть: лишний центр всегда может подогнаться к части точек. Содержателен не сам минимум, а замедление. У k-Means излом кривой приходится на k = 6: от 5 к 6 кластерам SSE ещё теряет 271, от 6 к 7 — уже 192. У k-Medoids спад почти останавливается позже: между k = 8 и k = 9 ошибка меняется с 1284 до 1278. Дальше дробить выборку из 850 клиентов уже мало что добавляет.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Шесть кластеров k-Means читаются как типы клиентов, а не как случайные куски. Самая большая группа (336 человек) — молодые клиенты около 31 года со стажем около 5 лет, доходом около 29 тыс. $ и низкой долговой нагрузкой (6,7%). Рядом группа того же возраста и дохода (139 человек), но с отношением долга к доходу около 19%: это заёмщики с той же зарплатой и заметно более тяжёлым долгом. Отдельная группа из 101 человека выделяется образованием (средний код 3,5 при 1,3–1,5 у молодых групп) и доходом около 42 тыс. $. Четвёртая группа (180 человек) старше, около 42 лет, со стажем 16 лет и доходом 68 тыс. $ при умеренном долге. Пятая (80 человек) сочетает высокий доход, около 81 тыс. $, с высокой долговой нагрузкой, около 18%. Шестая — 14 клиентов со средним доходом 213 тыс. $ и крупными долгами: это хвост распределения, и центроид k-Means уходит к нему сильнее, чем медоид.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k-Medoids собирает те же шесть смыслов, размеры групп — 271, 134, 140, 188, 107, 10. Хвост высокого дохода здесь короче (10 клиентов против 14): медоид обязан быть реальным клиентом и не сдвигается в пустоту между выбросами. Поэтому k-Medoids устойчивее к нескольким очень богатым заёмщикам, а k-Means точнее минимизирует именно сумму квадратов и сильнее реагирует на этот хвост. На рисунке 3 крайние левые точки — как раз высокий доход и долг: у первой главной компоненты большие отрицательные веса у дохода, долгов, возраста и стажа. Вторая компонента отделяет старших клиентов с умеренным долгом (верх) от высокой долговой нагрузки (низ). Вместе оси держат около 65% дисперсии, поэтому часть групп, которые различаются в первую очередь образованием, на плоскости пересекаются. Перекрытие цветов на рисунке — следствие проекции, а не смешения кластеров в исходных семи признаках.</w:t>
      </w:r>
    </w:p>
    <w:p>
      <w:pPr>
        <w:keepNext w:val="0"/>
        <w:spacing w:line="360" w:lineRule="auto" w:before="0" w:after="160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Шум до 5% почти не меняет кривые. При k = 6 SSE k-Means составляет 2598 без шума, 2606 при 1% и 2634 при 5%. Десять процентов зашумленных объектов поднимают SSE до 2712 (+4.4%) и ошибку k-Medoids с 1381 до 1418 (+2.7%). Форма зависимости от k сохраняется. На рисунке 4 линия 10% лежит выше остальных на всём интервале, излом не переезжает. На рисунке 5 сдвиг меньше, и отдельные кривые пересекаются: медоид слабее реагирует на сдвиг нескольких координат, а один случайный набор шума даёт колебания в несколько десятков единиц. На рисунках 6 и 7 при всех четырёх долях шума видна та же картина, что и на чистых данных: плотное облако справа, группа высокого дохода слева, долговая группа ниже центра. Для этой выборки шум в пределах 10% объектов с амплитудой полутора стандартных отклонений не разрушает найденные типы клиентов. Менять решение о числе кластеров из-за такого шума нет причин: и при чистых данных, и при шуме разумный диапазон — от 4 до 6 групп, а дробление дальше восьми почти не уменьшает ошибку k-Medoids.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hibapc/int-analysis-of-data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