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tabs>
          <w:tab w:val="clear" w:pos="720"/>
          <w:tab w:val="left" w:pos="8639" w:leader="none"/>
          <w:tab w:val="right" w:pos="11343" w:leader="none"/>
        </w:tabs>
        <w:spacing w:lineRule="auto" w:line="240" w:before="0" w:after="20"/>
        <w:jc w:val="center"/>
        <w:rPr>
          <w:rFonts w:ascii="Arial" w:hAnsi="Arial" w:eastAsia="Arial" w:cs="Arial"/>
          <w:sz w:val="30"/>
          <w:szCs w:val="30"/>
        </w:rPr>
      </w:pPr>
      <w:r>
        <w:rPr>
          <w:rFonts w:eastAsia="Arial" w:cs="Arial" w:ascii="Arial" w:hAnsi="Arial"/>
          <w:b/>
          <w:bCs/>
          <w:sz w:val="30"/>
          <w:szCs w:val="30"/>
        </w:rPr>
        <w:t>Shibasis Roy</w:t>
      </w:r>
    </w:p>
    <w:p>
      <w:pPr>
        <w:pStyle w:val="Normal"/>
        <w:spacing w:lineRule="auto" w:line="240" w:before="0" w:after="60"/>
        <w:jc w:val="center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+1 (831) 440-6136  |  Santa Monica, CA  |  shibasis.cmi@gmail.com  |  </w:t>
      </w:r>
      <w:hyperlink r:id="rId2">
        <w:r>
          <w:rPr>
            <w:rStyle w:val="InternetLink"/>
            <w:rFonts w:eastAsia="Arial" w:cs="Arial" w:ascii="Arial" w:hAnsi="Arial"/>
            <w:color w:val="1155CC"/>
            <w:sz w:val="20"/>
            <w:szCs w:val="20"/>
            <w:u w:val="single"/>
          </w:rPr>
          <w:t>Linkedin</w:t>
        </w:r>
      </w:hyperlink>
      <w:r>
        <w:rPr>
          <w:rFonts w:eastAsia="Arial" w:cs="Arial" w:ascii="Arial" w:hAnsi="Arial"/>
          <w:sz w:val="20"/>
          <w:szCs w:val="20"/>
        </w:rPr>
        <w:t xml:space="preserve">  |  </w:t>
      </w:r>
      <w:hyperlink r:id="rId3">
        <w:r>
          <w:rPr>
            <w:rStyle w:val="InternetLink"/>
            <w:rFonts w:eastAsia="Arial" w:cs="Arial" w:ascii="Arial" w:hAnsi="Arial"/>
            <w:color w:val="1155CC"/>
            <w:sz w:val="20"/>
            <w:szCs w:val="20"/>
            <w:u w:val="single"/>
          </w:rPr>
          <w:t>shibasisr.github.io</w:t>
        </w:r>
      </w:hyperlink>
    </w:p>
    <w:p>
      <w:pPr>
        <w:pStyle w:val="Normal"/>
        <w:pBdr>
          <w:bottom w:val="single" w:sz="6" w:space="1" w:color="000000"/>
        </w:pBdr>
        <w:spacing w:lineRule="auto" w:line="240" w:before="80" w:after="2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SUMMARY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Physicist with 5+ years of research experience building machine learning classifiers, time-series models, and Bayesian statistical frameworks for high-dimensional physics data. Independently developed an end-to-end ML forecasting pipeline alongside research code adopted by CERN collaborators. 2+ years of university-level teaching experience.</w:t>
      </w:r>
    </w:p>
    <w:p>
      <w:pPr>
        <w:pStyle w:val="Normal"/>
        <w:pBdr>
          <w:bottom w:val="single" w:sz="6" w:space="1" w:color="000000"/>
        </w:pBdr>
        <w:spacing w:lineRule="auto" w:line="240" w:before="80" w:after="2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SKILLS &amp; CERTIFICATIONS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 xml:space="preserve">Technical Skills: </w:t>
      </w:r>
      <w:r>
        <w:rPr>
          <w:rFonts w:eastAsia="Arial" w:cs="Arial" w:ascii="Arial" w:hAnsi="Arial"/>
          <w:sz w:val="20"/>
          <w:szCs w:val="20"/>
        </w:rPr>
        <w:t>Python (NumPy, SciPy, Pandas, Scikit-learn, Statsmodels, PyTorch), Matplotlib, Seaborn, Mathematica, C++ (GEANT4 simulation toolkit), AI-assisted development (Claude Code), Git/GitHub, PyROOT, SQL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 xml:space="preserve">Domains: </w:t>
      </w:r>
      <w:r>
        <w:rPr>
          <w:rFonts w:eastAsia="Arial" w:cs="Arial" w:ascii="Arial" w:hAnsi="Arial"/>
          <w:sz w:val="20"/>
          <w:szCs w:val="20"/>
        </w:rPr>
        <w:t>machine learning (decision trees, neural networks), time series analysis, statistical modeling, Bayesian inference, Monte Carlo simulation, multi-dimensional angular-distribution / dynamical modeling, symbolic computation &amp; automated derivation, SU(3)-flavor symmetry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 xml:space="preserve">Broader interests: </w:t>
      </w:r>
      <w:r>
        <w:rPr>
          <w:rFonts w:eastAsia="Arial" w:cs="Arial" w:ascii="Arial" w:hAnsi="Arial"/>
          <w:sz w:val="20"/>
          <w:szCs w:val="20"/>
        </w:rPr>
        <w:t>Applied Probability, Computational Physics &amp; Scientific Computing, Workflow Automation, Technical Communication</w:t>
      </w:r>
    </w:p>
    <w:p>
      <w:pPr>
        <w:pStyle w:val="Normal"/>
        <w:pBdr>
          <w:bottom w:val="single" w:sz="6" w:space="1" w:color="000000"/>
        </w:pBdr>
        <w:spacing w:lineRule="auto" w:line="240" w:before="80" w:after="2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EDUCATION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tabs>
          <w:tab w:val="clear" w:pos="720"/>
          <w:tab w:val="right" w:pos="10800" w:leader="none"/>
        </w:tabs>
        <w:suppressAutoHyphens w:val="true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Ph.D. &amp; M.Sc. in Physics</w:t>
      </w:r>
      <w:r>
        <w:rPr>
          <w:rFonts w:eastAsia="Arial" w:cs="Arial" w:ascii="Arial" w:hAnsi="Arial"/>
          <w:sz w:val="20"/>
          <w:szCs w:val="20"/>
        </w:rPr>
        <w:t>, Institute of Mathematical Sciences, Chennai, India (GPA: 8.9/10)</w:t>
        <w:tab/>
      </w:r>
      <w:r>
        <w:rPr>
          <w:rFonts w:eastAsia="Arial" w:cs="Arial" w:ascii="Arial" w:hAnsi="Arial"/>
          <w:b/>
          <w:bCs/>
          <w:sz w:val="20"/>
          <w:szCs w:val="20"/>
        </w:rPr>
        <w:t>July 2015 – Sept 2021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Thesis: SU(3)-flavor analysis of hadronic bottom baryon decays; Adviser: Prof. Rahul Sinha.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Junior Research Fellowship, Joint CSIR-UGC NET in Physical Sciences (2015).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Full scholarship awarded through JEST for basic science Integrated PhD program.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tabs>
          <w:tab w:val="clear" w:pos="720"/>
          <w:tab w:val="right" w:pos="10800" w:leader="none"/>
        </w:tabs>
        <w:suppressAutoHyphens w:val="true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B.Sc. (Honors) in Physics</w:t>
      </w:r>
      <w:r>
        <w:rPr>
          <w:rFonts w:eastAsia="Arial" w:cs="Arial" w:ascii="Arial" w:hAnsi="Arial"/>
          <w:sz w:val="20"/>
          <w:szCs w:val="20"/>
        </w:rPr>
        <w:t>, Chennai Mathematical Institute, Chennai, India (GPA: 8.40/10)</w:t>
        <w:tab/>
      </w:r>
      <w:r>
        <w:rPr>
          <w:rFonts w:eastAsia="Arial" w:cs="Arial" w:ascii="Arial" w:hAnsi="Arial"/>
          <w:b/>
          <w:bCs/>
          <w:sz w:val="20"/>
          <w:szCs w:val="20"/>
        </w:rPr>
        <w:t>Aug 2010 – July 2013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Full Scholarship, National Undergraduate Programme in Mathematical Sciences.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“</w:t>
      </w:r>
      <w:r>
        <w:rPr>
          <w:rFonts w:eastAsia="Arial" w:cs="Arial" w:ascii="Arial" w:hAnsi="Arial"/>
          <w:sz w:val="20"/>
          <w:szCs w:val="20"/>
        </w:rPr>
        <w:t>INSPIRE” fellowship under Kishor Vaigyanik Protshahan Yojana (KVPY).</w:t>
      </w:r>
    </w:p>
    <w:p>
      <w:pPr>
        <w:pStyle w:val="Normal"/>
        <w:pBdr>
          <w:bottom w:val="single" w:sz="6" w:space="1" w:color="000000"/>
        </w:pBdr>
        <w:spacing w:lineRule="auto" w:line="240" w:before="80" w:after="2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EXPERIENCE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tabs>
          <w:tab w:val="clear" w:pos="720"/>
          <w:tab w:val="right" w:pos="10800" w:leader="none"/>
        </w:tabs>
        <w:spacing w:lineRule="auto" w:line="240" w:before="40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LHCb Research Group</w:t>
      </w:r>
      <w:r>
        <w:rPr>
          <w:rFonts w:eastAsia="Arial" w:cs="Arial" w:ascii="Arial" w:hAnsi="Arial"/>
          <w:sz w:val="20"/>
          <w:szCs w:val="20"/>
        </w:rPr>
        <w:t xml:space="preserve">, Eotvos Lorand University, Budapest  </w:t>
      </w:r>
      <w:r>
        <w:rPr>
          <w:rFonts w:eastAsia="Arial" w:cs="Arial" w:ascii="Arial" w:hAnsi="Arial"/>
          <w:b/>
          <w:bCs/>
          <w:sz w:val="20"/>
          <w:szCs w:val="20"/>
        </w:rPr>
        <w:t>Postdoctoral Researcher</w:t>
      </w: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Arial" w:cs="Arial" w:ascii="Arial" w:hAnsi="Arial"/>
          <w:b/>
          <w:bCs/>
          <w:sz w:val="20"/>
          <w:szCs w:val="20"/>
        </w:rPr>
        <w:t>July 2025 – Present</w:t>
      </w:r>
    </w:p>
    <w:p>
      <w:pPr>
        <w:pStyle w:val="Normal"/>
        <w:spacing w:lineRule="auto" w:line="240" w:before="0" w:after="0"/>
        <w:ind w:left="28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● </w:t>
      </w:r>
      <w:r>
        <w:rPr>
          <w:rFonts w:eastAsia="Arial" w:cs="Arial" w:ascii="Arial" w:hAnsi="Arial"/>
          <w:sz w:val="20"/>
          <w:szCs w:val="20"/>
        </w:rPr>
        <w:t>Translated theoretical rare-decay models into Monte Carlo simulation code (GEANT4/C++, PyROOT), improving simulation efficiency and cutting computation time 10% through algorithmic optimization.</w:t>
      </w:r>
    </w:p>
    <w:p>
      <w:pPr>
        <w:pStyle w:val="Normal"/>
        <w:spacing w:lineRule="auto" w:line="240" w:before="0" w:after="0"/>
        <w:ind w:left="28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● </w:t>
      </w:r>
      <w:r>
        <w:rPr>
          <w:rFonts w:eastAsia="Arial" w:cs="Arial" w:ascii="Arial" w:hAnsi="Arial"/>
          <w:sz w:val="20"/>
          <w:szCs w:val="20"/>
        </w:rPr>
        <w:t>Diagnosed and fixed an accuracy problem in a vertex-reconstruction algorithm for tau leptons, improving reconstruction efficiency 20% and cutting misreconstructed events 10%.</w:t>
      </w:r>
    </w:p>
    <w:p>
      <w:pPr>
        <w:pStyle w:val="Normal"/>
        <w:spacing w:lineRule="auto" w:line="240" w:before="0" w:after="0"/>
        <w:ind w:left="28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● </w:t>
      </w:r>
      <w:r>
        <w:rPr>
          <w:rFonts w:eastAsia="Arial" w:cs="Arial" w:ascii="Arial" w:hAnsi="Arial"/>
          <w:sz w:val="20"/>
          <w:szCs w:val="20"/>
        </w:rPr>
        <w:t>Built and validated ML classifiers (decision trees, neural networks) for tau identification in multi-body decay channels, achieving 85% classification accuracy.</w:t>
      </w:r>
    </w:p>
    <w:p>
      <w:pPr>
        <w:pStyle w:val="Normal"/>
        <w:spacing w:lineRule="auto" w:line="240" w:before="0" w:after="0"/>
        <w:ind w:left="28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● </w:t>
      </w:r>
      <w:r>
        <w:rPr>
          <w:rFonts w:eastAsia="Arial" w:cs="Arial" w:ascii="Arial" w:hAnsi="Arial"/>
          <w:sz w:val="20"/>
          <w:szCs w:val="20"/>
        </w:rPr>
        <w:t>Conducted data analysis, statistical modeling, and visualization using Python (NumPy, SciPy, Pandas), PyROOT, and GEANT4.</w:t>
      </w:r>
    </w:p>
    <w:p>
      <w:pPr>
        <w:pStyle w:val="Normal"/>
        <w:spacing w:lineRule="auto" w:line="240" w:before="0" w:after="0"/>
        <w:ind w:left="28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● </w:t>
      </w:r>
      <w:r>
        <w:rPr>
          <w:rFonts w:eastAsia="Arial" w:cs="Arial" w:ascii="Arial" w:hAnsi="Arial"/>
          <w:sz w:val="20"/>
          <w:szCs w:val="20"/>
        </w:rPr>
        <w:t>Designed a quantitative framework to predict CP violation in baryons and shared the results with experimental collaborators at CERN.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tabs>
          <w:tab w:val="clear" w:pos="720"/>
          <w:tab w:val="right" w:pos="10800" w:leader="none"/>
        </w:tabs>
        <w:spacing w:lineRule="auto" w:line="240" w:before="40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Handshake</w:t>
      </w:r>
      <w:r>
        <w:rPr>
          <w:rFonts w:eastAsia="Arial" w:cs="Arial" w:ascii="Arial" w:hAnsi="Arial"/>
          <w:sz w:val="20"/>
          <w:szCs w:val="20"/>
        </w:rPr>
        <w:t xml:space="preserve"> Model Validation Expert (MOVE)  </w:t>
      </w:r>
      <w:r>
        <w:rPr>
          <w:rFonts w:eastAsia="Arial" w:cs="Arial" w:ascii="Arial" w:hAnsi="Arial"/>
          <w:b/>
          <w:bCs/>
          <w:sz w:val="20"/>
          <w:szCs w:val="20"/>
        </w:rPr>
        <w:t>Physics AI Trainer</w:t>
      </w: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Arial" w:cs="Arial" w:ascii="Arial" w:hAnsi="Arial"/>
          <w:b/>
          <w:bCs/>
          <w:sz w:val="20"/>
          <w:szCs w:val="20"/>
        </w:rPr>
        <w:t>June 2025 – July 2025</w:t>
      </w:r>
    </w:p>
    <w:p>
      <w:pPr>
        <w:pStyle w:val="Normal"/>
        <w:spacing w:lineRule="auto" w:line="240" w:before="0" w:after="0"/>
        <w:ind w:left="28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● </w:t>
      </w:r>
      <w:r>
        <w:rPr>
          <w:rFonts w:eastAsia="Arial" w:cs="Arial" w:ascii="Arial" w:hAnsi="Arial"/>
          <w:sz w:val="20"/>
          <w:szCs w:val="20"/>
        </w:rPr>
        <w:t>Evaluated AI models against rigorous physics reasoning, identifying majority-case (&gt;50%) reasoning errors and correcting model approaches — judging whether an answer is actually correct, not just plausible.</w:t>
      </w:r>
    </w:p>
    <w:p>
      <w:pPr>
        <w:pStyle w:val="Normal"/>
        <w:spacing w:lineRule="auto" w:line="240" w:before="0" w:after="0"/>
        <w:ind w:left="28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● </w:t>
      </w:r>
      <w:r>
        <w:rPr>
          <w:rFonts w:eastAsia="Arial" w:cs="Arial" w:ascii="Arial" w:hAnsi="Arial"/>
          <w:sz w:val="20"/>
          <w:szCs w:val="20"/>
        </w:rPr>
        <w:t>Partnered with cross-disciplinary experts to translate domain-specific correctness criteria into AI training signal.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tabs>
          <w:tab w:val="clear" w:pos="720"/>
          <w:tab w:val="right" w:pos="10800" w:leader="none"/>
        </w:tabs>
        <w:spacing w:lineRule="auto" w:line="240" w:before="40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University of California, Santa Cruz</w:t>
      </w:r>
      <w:r>
        <w:rPr>
          <w:rFonts w:eastAsia="Arial" w:cs="Arial" w:ascii="Arial" w:hAnsi="Arial"/>
          <w:sz w:val="20"/>
          <w:szCs w:val="20"/>
        </w:rPr>
        <w:t xml:space="preserve">  </w:t>
      </w:r>
      <w:r>
        <w:rPr>
          <w:rFonts w:eastAsia="Arial" w:cs="Arial" w:ascii="Arial" w:hAnsi="Arial"/>
          <w:b/>
          <w:bCs/>
          <w:sz w:val="20"/>
          <w:szCs w:val="20"/>
        </w:rPr>
        <w:t>Visiting Postdoctoral Researcher</w:t>
      </w: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Arial" w:cs="Arial" w:ascii="Arial" w:hAnsi="Arial"/>
          <w:b/>
          <w:bCs/>
          <w:sz w:val="20"/>
          <w:szCs w:val="20"/>
        </w:rPr>
        <w:t>Oct 2023 – May 2025</w:t>
      </w:r>
    </w:p>
    <w:p>
      <w:pPr>
        <w:pStyle w:val="Normal"/>
        <w:spacing w:lineRule="auto" w:line="240" w:before="0" w:after="0"/>
        <w:ind w:left="28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● </w:t>
      </w:r>
      <w:r>
        <w:rPr>
          <w:rFonts w:eastAsia="Arial" w:cs="Arial" w:ascii="Arial" w:hAnsi="Arial"/>
          <w:sz w:val="20"/>
          <w:szCs w:val="20"/>
        </w:rPr>
        <w:t>Led two independent, data-driven research projects (Python, Mathematica) end-to-end: statistical analysis, cross-validation, hypothesis testing, and a custom Monte Carlo event-rate/detector-acceptance simulator.</w:t>
      </w:r>
    </w:p>
    <w:p>
      <w:pPr>
        <w:pStyle w:val="Normal"/>
        <w:spacing w:lineRule="auto" w:line="240" w:before="0" w:after="0"/>
        <w:ind w:left="28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● </w:t>
      </w:r>
      <w:r>
        <w:rPr>
          <w:rFonts w:eastAsia="Arial" w:cs="Arial" w:ascii="Arial" w:hAnsi="Arial"/>
          <w:sz w:val="20"/>
          <w:szCs w:val="20"/>
        </w:rPr>
        <w:t>Delivered results at international conferences (APS DPF-Pheno, APS April Meeting, and others); findings adopted as reference predictions by experimental collaborators, garnering over 40 citations.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tabs>
          <w:tab w:val="clear" w:pos="720"/>
          <w:tab w:val="right" w:pos="10800" w:leader="none"/>
        </w:tabs>
        <w:spacing w:lineRule="auto" w:line="240" w:before="40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Chennai Mathematical Institute</w:t>
      </w:r>
      <w:r>
        <w:rPr>
          <w:rFonts w:eastAsia="Arial" w:cs="Arial" w:ascii="Arial" w:hAnsi="Arial"/>
          <w:sz w:val="20"/>
          <w:szCs w:val="20"/>
        </w:rPr>
        <w:t xml:space="preserve">, Chennai  </w:t>
      </w:r>
      <w:r>
        <w:rPr>
          <w:rFonts w:eastAsia="Arial" w:cs="Arial" w:ascii="Arial" w:hAnsi="Arial"/>
          <w:b/>
          <w:bCs/>
          <w:sz w:val="20"/>
          <w:szCs w:val="20"/>
        </w:rPr>
        <w:t>Postdoctoral Fellow</w:t>
      </w: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Arial" w:cs="Arial" w:ascii="Arial" w:hAnsi="Arial"/>
          <w:b/>
          <w:bCs/>
          <w:sz w:val="20"/>
          <w:szCs w:val="20"/>
        </w:rPr>
        <w:t>April 2023 – March 2024</w:t>
      </w:r>
    </w:p>
    <w:p>
      <w:pPr>
        <w:pStyle w:val="Normal"/>
        <w:spacing w:lineRule="auto" w:line="240" w:before="0" w:after="0"/>
        <w:ind w:left="28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● </w:t>
      </w:r>
      <w:r>
        <w:rPr>
          <w:rFonts w:eastAsia="Arial" w:cs="Arial" w:ascii="Arial" w:hAnsi="Arial"/>
          <w:sz w:val="20"/>
          <w:szCs w:val="20"/>
        </w:rPr>
        <w:t>Built a data-driven parameter extraction framework in Mathematica, applying constrained optimization to fit theoretical models to experimental measurements.</w:t>
      </w:r>
    </w:p>
    <w:p>
      <w:pPr>
        <w:pStyle w:val="Normal"/>
        <w:spacing w:lineRule="auto" w:line="240" w:before="0" w:after="0"/>
        <w:ind w:left="28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● </w:t>
      </w:r>
      <w:r>
        <w:rPr>
          <w:rFonts w:eastAsia="Arial" w:cs="Arial" w:ascii="Arial" w:hAnsi="Arial"/>
          <w:sz w:val="20"/>
          <w:szCs w:val="20"/>
        </w:rPr>
        <w:t>Attended a graduate-level financial mathematics course for data science students, gaining exposure to core quantitative methods.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tabs>
          <w:tab w:val="clear" w:pos="720"/>
          <w:tab w:val="right" w:pos="10800" w:leader="none"/>
        </w:tabs>
        <w:spacing w:lineRule="auto" w:line="240" w:before="40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tabs>
          <w:tab w:val="clear" w:pos="720"/>
          <w:tab w:val="right" w:pos="10800" w:leader="none"/>
        </w:tabs>
        <w:spacing w:lineRule="auto" w:line="240" w:before="40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tabs>
          <w:tab w:val="clear" w:pos="720"/>
          <w:tab w:val="right" w:pos="10800" w:leader="none"/>
        </w:tabs>
        <w:spacing w:lineRule="auto" w:line="240" w:before="40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University of Calcutta</w:t>
      </w:r>
      <w:r>
        <w:rPr>
          <w:rFonts w:eastAsia="Arial" w:cs="Arial" w:ascii="Arial" w:hAnsi="Arial"/>
          <w:sz w:val="20"/>
          <w:szCs w:val="20"/>
        </w:rPr>
        <w:t xml:space="preserve">, Kolkata  </w:t>
      </w:r>
      <w:r>
        <w:rPr>
          <w:rFonts w:eastAsia="Arial" w:cs="Arial" w:ascii="Arial" w:hAnsi="Arial"/>
          <w:b/>
          <w:bCs/>
          <w:sz w:val="20"/>
          <w:szCs w:val="20"/>
        </w:rPr>
        <w:t>Postdoctoral Research Associate</w:t>
      </w: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Arial" w:cs="Arial" w:ascii="Arial" w:hAnsi="Arial"/>
          <w:b/>
          <w:bCs/>
          <w:sz w:val="20"/>
          <w:szCs w:val="20"/>
        </w:rPr>
        <w:t>Dec 2020 – Dec 2022</w:t>
      </w:r>
    </w:p>
    <w:p>
      <w:pPr>
        <w:pStyle w:val="Normal"/>
        <w:spacing w:lineRule="auto" w:line="240" w:before="0" w:after="0"/>
        <w:ind w:left="28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● </w:t>
      </w:r>
      <w:r>
        <w:rPr>
          <w:rFonts w:eastAsia="Arial" w:cs="Arial" w:ascii="Arial" w:hAnsi="Arial"/>
          <w:sz w:val="20"/>
          <w:szCs w:val="20"/>
        </w:rPr>
        <w:t>Led a data-intensive Bayesian analysis demonstrating that apparent theory-experiment discrepancies were statistically insignificant (&lt;2σ), providing actionable guidance to experimental collaborators.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tabs>
          <w:tab w:val="clear" w:pos="720"/>
          <w:tab w:val="right" w:pos="10800" w:leader="none"/>
        </w:tabs>
        <w:spacing w:lineRule="auto" w:line="240" w:before="40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Institute of Mathematical Sciences, Chennai</w:t>
      </w:r>
      <w:r>
        <w:rPr>
          <w:rFonts w:eastAsia="Arial" w:cs="Arial" w:ascii="Arial" w:hAnsi="Arial"/>
          <w:sz w:val="20"/>
          <w:szCs w:val="20"/>
        </w:rPr>
        <w:t xml:space="preserve">  </w:t>
      </w:r>
      <w:r>
        <w:rPr>
          <w:rFonts w:eastAsia="Arial" w:cs="Arial" w:ascii="Arial" w:hAnsi="Arial"/>
          <w:b/>
          <w:bCs/>
          <w:sz w:val="20"/>
          <w:szCs w:val="20"/>
        </w:rPr>
        <w:t>Doctoral Research Fellow</w:t>
      </w: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Arial" w:cs="Arial" w:ascii="Arial" w:hAnsi="Arial"/>
          <w:b/>
          <w:bCs/>
          <w:sz w:val="20"/>
          <w:szCs w:val="20"/>
        </w:rPr>
        <w:t>Aug 2015 – Dec 2020</w:t>
      </w:r>
    </w:p>
    <w:p>
      <w:pPr>
        <w:pStyle w:val="Normal"/>
        <w:spacing w:lineRule="auto" w:line="240" w:before="0" w:after="0"/>
        <w:ind w:left="28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● </w:t>
      </w:r>
      <w:r>
        <w:rPr>
          <w:rFonts w:eastAsia="Arial" w:cs="Arial" w:ascii="Arial" w:hAnsi="Arial"/>
          <w:sz w:val="20"/>
          <w:szCs w:val="20"/>
        </w:rPr>
        <w:t>Built a symbolic computation tool (Python, Mathematica) automating SU(3) group-theoretic decomposition of particle decay amplitudes, cutting a multi-day manual derivation process to minutes.</w:t>
      </w:r>
    </w:p>
    <w:p>
      <w:pPr>
        <w:pStyle w:val="Normal"/>
        <w:spacing w:lineRule="auto" w:line="240" w:before="0" w:after="0"/>
        <w:ind w:left="28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● </w:t>
      </w:r>
      <w:r>
        <w:rPr>
          <w:rFonts w:eastAsia="Arial" w:cs="Arial" w:ascii="Arial" w:hAnsi="Arial"/>
          <w:sz w:val="20"/>
          <w:szCs w:val="20"/>
        </w:rPr>
        <w:t>Designed simulation frameworks to model multi-dimensional angular distributions, enabling robust parameter extraction from high-dimensional data.</w:t>
      </w:r>
    </w:p>
    <w:p>
      <w:pPr>
        <w:pStyle w:val="Normal"/>
        <w:pBdr>
          <w:bottom w:val="single" w:sz="6" w:space="1" w:color="000000"/>
        </w:pBdr>
        <w:spacing w:lineRule="auto" w:line="240" w:before="80" w:after="2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PROJECTS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tabs>
          <w:tab w:val="clear" w:pos="720"/>
          <w:tab w:val="right" w:pos="10800" w:leader="none"/>
        </w:tabs>
        <w:spacing w:lineRule="auto" w:line="240" w:before="40" w:after="0"/>
        <w:rPr>
          <w:rFonts w:ascii="Arial" w:hAnsi="Arial" w:eastAsia="Arial" w:cs="Arial"/>
          <w:sz w:val="20"/>
          <w:szCs w:val="20"/>
        </w:rPr>
      </w:pPr>
      <w:hyperlink r:id="rId4">
        <w:r>
          <w:rPr>
            <w:rStyle w:val="InternetLink"/>
            <w:rFonts w:eastAsia="Arial" w:cs="Arial" w:ascii="Arial" w:hAnsi="Arial"/>
            <w:b/>
            <w:bCs/>
            <w:sz w:val="20"/>
            <w:szCs w:val="20"/>
          </w:rPr>
          <w:t>Aurora Visibility Prediction</w:t>
        </w:r>
      </w:hyperlink>
      <w:r>
        <w:rPr>
          <w:rFonts w:eastAsia="Arial" w:cs="Arial" w:ascii="Arial" w:hAnsi="Arial"/>
          <w:sz w:val="20"/>
          <w:szCs w:val="20"/>
        </w:rPr>
        <w:t xml:space="preserve">  |  Python, Pandas, Scikit-learn, Statsmodels, XGBoost, InterpretML  </w:t>
        <w:tab/>
      </w:r>
      <w:r>
        <w:rPr>
          <w:rFonts w:eastAsia="Arial" w:cs="Arial" w:ascii="Arial" w:hAnsi="Arial"/>
          <w:b/>
          <w:bCs/>
          <w:sz w:val="20"/>
          <w:szCs w:val="20"/>
        </w:rPr>
        <w:t>June 2026 – Present</w:t>
      </w:r>
    </w:p>
    <w:p>
      <w:pPr>
        <w:pStyle w:val="Normal"/>
        <w:spacing w:lineRule="auto" w:line="240" w:before="0" w:after="0"/>
        <w:ind w:left="28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● </w:t>
      </w:r>
      <w:r>
        <w:rPr>
          <w:rFonts w:eastAsia="Arial" w:cs="Arial" w:ascii="Arial" w:hAnsi="Arial"/>
          <w:sz w:val="20"/>
          <w:szCs w:val="20"/>
        </w:rPr>
        <w:t>Independently developing an end-to-end ML pipeline to predict aurora visibility using 22,000+ citizen science observations (2014–2025) merged with NASA OMNI2 solar wind data (Kp index, Bz GSM, solar wind velocity) and open-source Open-Meteo weather data (cloud cover, moon phase).</w:t>
      </w:r>
    </w:p>
    <w:p>
      <w:pPr>
        <w:pStyle w:val="Normal"/>
        <w:spacing w:lineRule="auto" w:line="240" w:before="0" w:after="0"/>
        <w:ind w:left="28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● </w:t>
      </w:r>
      <w:r>
        <w:rPr>
          <w:rFonts w:eastAsia="Arial" w:cs="Arial" w:ascii="Arial" w:hAnsi="Arial"/>
          <w:sz w:val="20"/>
          <w:szCs w:val="20"/>
        </w:rPr>
        <w:t>Engineered geomagnetic time-series features with leave-one-region-out validation, including 3-hourly activity buckets and daily disturbance indices (Ap); built automated ingestion and preprocessing pipelines.</w:t>
      </w:r>
    </w:p>
    <w:p>
      <w:pPr>
        <w:pStyle w:val="Normal"/>
        <w:spacing w:lineRule="auto" w:line="240" w:before="0" w:after="0"/>
        <w:ind w:left="28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● </w:t>
      </w:r>
      <w:r>
        <w:rPr>
          <w:rFonts w:eastAsia="Arial" w:cs="Arial" w:ascii="Arial" w:hAnsi="Arial"/>
          <w:sz w:val="20"/>
          <w:szCs w:val="20"/>
        </w:rPr>
        <w:t>Training classification models to identify space-weather and sky conditions favorable for aurora sightings, targeting real-time prediction and notification applications.</w:t>
      </w:r>
    </w:p>
    <w:p>
      <w:pPr>
        <w:pStyle w:val="Normal"/>
        <w:pBdr>
          <w:bottom w:val="single" w:sz="6" w:space="1" w:color="000000"/>
        </w:pBdr>
        <w:spacing w:lineRule="auto" w:line="240" w:before="80" w:after="2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PUBLICATIONS</w:t>
      </w:r>
    </w:p>
    <w:p>
      <w:pPr>
        <w:pStyle w:val="Normal"/>
        <w:spacing w:lineRule="auto" w:line="240" w:before="0" w:after="0"/>
        <w:ind w:lef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LOnormal"/>
        <w:tabs>
          <w:tab w:val="clear" w:pos="720"/>
          <w:tab w:val="right" w:pos="10800" w:leader="none"/>
        </w:tabs>
        <w:spacing w:lineRule="auto" w:line="240" w:before="0" w:after="0"/>
        <w:rPr>
          <w:rFonts w:ascii="Arial" w:hAnsi="Arial" w:eastAsia="Arial" w:cs="Arial"/>
        </w:rPr>
      </w:pPr>
      <w:hyperlink r:id="rId5">
        <w:r>
          <w:rPr>
            <w:rStyle w:val="InternetLink"/>
            <w:rFonts w:eastAsia="Arial" w:cs="Arial" w:ascii="Arial" w:hAnsi="Arial"/>
            <w:color w:val="1155CC"/>
            <w:sz w:val="20"/>
            <w:szCs w:val="20"/>
            <w:u w:val="single"/>
          </w:rPr>
          <w:t>CP-violation and U-spin symmetry in four-body bottom baryon decays</w:t>
        </w:r>
      </w:hyperlink>
      <w:r>
        <w:rPr>
          <w:rFonts w:eastAsia="Arial" w:cs="Arial" w:ascii="Arial" w:hAnsi="Arial"/>
          <w:sz w:val="20"/>
          <w:szCs w:val="20"/>
        </w:rPr>
        <w:t xml:space="preserve">  —  S. Roy, </w:t>
      </w:r>
      <w:r>
        <w:rPr>
          <w:rFonts w:eastAsia="Arial" w:cs="Arial" w:ascii="Arial" w:hAnsi="Arial"/>
          <w:i/>
          <w:iCs/>
          <w:sz w:val="20"/>
          <w:szCs w:val="20"/>
        </w:rPr>
        <w:t>Phys.Lett.B 869, 139838</w:t>
      </w:r>
      <w:r>
        <w:rPr>
          <w:rFonts w:eastAsia="Arial" w:cs="Arial" w:ascii="Arial" w:hAnsi="Arial"/>
          <w:sz w:val="20"/>
          <w:szCs w:val="20"/>
        </w:rPr>
        <w:tab/>
        <w:t>2025</w:t>
      </w:r>
    </w:p>
    <w:p>
      <w:pPr>
        <w:pStyle w:val="LOnormal"/>
        <w:tabs>
          <w:tab w:val="clear" w:pos="720"/>
          <w:tab w:val="right" w:pos="10800" w:leader="none"/>
        </w:tabs>
        <w:spacing w:lineRule="auto" w:line="240" w:before="0" w:after="0"/>
        <w:rPr>
          <w:rFonts w:ascii="Arial" w:hAnsi="Arial" w:eastAsia="Arial" w:cs="Arial"/>
        </w:rPr>
      </w:pPr>
      <w:hyperlink r:id="rId6">
        <w:r>
          <w:rPr>
            <w:rStyle w:val="InternetLink"/>
            <w:rFonts w:eastAsia="Arial" w:cs="Arial" w:ascii="Arial" w:hAnsi="Arial"/>
            <w:color w:val="1155CC"/>
            <w:sz w:val="20"/>
            <w:szCs w:val="20"/>
            <w:u w:val="single"/>
          </w:rPr>
          <w:t xml:space="preserve">Joint explanation of the </w:t>
        </w:r>
        <w:r>
          <w:rPr>
            <w:rStyle w:val="InternetLink"/>
          </w:rPr>
          <w:drawing>
            <wp:inline distT="0" distB="0" distL="0" distR="0">
              <wp:extent cx="533400" cy="88900"/>
              <wp:effectExtent l="0" t="0" r="0" b="0"/>
              <wp:docPr id="1" name="image2.png" descr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2.png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" cy="889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rStyle w:val="InternetLink"/>
            <w:rFonts w:eastAsia="Arial" w:cs="Arial" w:ascii="Arial" w:hAnsi="Arial"/>
            <w:color w:val="1155CC"/>
            <w:sz w:val="20"/>
            <w:szCs w:val="20"/>
            <w:u w:val="single"/>
          </w:rPr>
          <w:t xml:space="preserve"> puzzle and </w:t>
        </w:r>
        <w:r>
          <w:rPr>
            <w:rStyle w:val="InternetLink"/>
          </w:rPr>
          <w:drawing>
            <wp:inline distT="0" distB="0" distL="0" distR="0">
              <wp:extent cx="609600" cy="88900"/>
              <wp:effectExtent l="0" t="0" r="0" b="0"/>
              <wp:docPr id="2" name="image3.png" descr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3.png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" cy="889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rStyle w:val="InternetLink"/>
          </w:rPr>
          <w:t xml:space="preserve"> </w:t>
        </w:r>
        <w:r>
          <w:rPr>
            <w:rStyle w:val="InternetLink"/>
            <w:rFonts w:eastAsia="Arial" w:cs="Arial" w:ascii="Arial" w:hAnsi="Arial"/>
            <w:color w:val="1155CC"/>
            <w:sz w:val="20"/>
            <w:szCs w:val="20"/>
            <w:u w:val="none"/>
          </w:rPr>
          <w:t>excess</w:t>
        </w:r>
        <w:r>
          <w:rPr>
            <w:rStyle w:val="InternetLink"/>
            <w:rFonts w:eastAsia="Arial" w:cs="Arial" w:ascii="Arial" w:hAnsi="Arial"/>
            <w:sz w:val="20"/>
            <w:szCs w:val="20"/>
            <w:u w:val="none"/>
          </w:rPr>
          <w:t xml:space="preserve">  — </w:t>
        </w:r>
      </w:hyperlink>
      <w:r>
        <w:rPr>
          <w:rStyle w:val="InternetLink"/>
          <w:rFonts w:eastAsia="Arial" w:cs="Arial" w:ascii="Arial" w:hAnsi="Arial"/>
          <w:color w:val="000000"/>
          <w:sz w:val="20"/>
          <w:szCs w:val="20"/>
          <w:u w:val="none"/>
        </w:rPr>
        <w:t xml:space="preserve"> S. Roy et al.,</w:t>
      </w:r>
      <w:hyperlink r:id="rId9">
        <w:r>
          <w:rPr>
            <w:rStyle w:val="InternetLink"/>
            <w:rFonts w:eastAsia="Arial" w:cs="Arial" w:ascii="Arial" w:hAnsi="Arial"/>
            <w:color w:val="000000"/>
            <w:sz w:val="20"/>
            <w:szCs w:val="20"/>
            <w:u w:val="none"/>
          </w:rPr>
          <w:t xml:space="preserve"> </w:t>
        </w:r>
        <w:r>
          <w:rPr>
            <w:rStyle w:val="InternetLink"/>
            <w:rFonts w:eastAsia="Arial" w:cs="Arial" w:ascii="Arial" w:hAnsi="Arial"/>
            <w:i/>
            <w:iCs/>
            <w:color w:val="000000"/>
            <w:sz w:val="20"/>
            <w:szCs w:val="20"/>
            <w:u w:val="none"/>
          </w:rPr>
          <w:t>Phys.Rev.D 111, 7, 075029</w:t>
        </w:r>
        <w:r>
          <w:rPr>
            <w:rStyle w:val="InternetLink"/>
            <w:rFonts w:eastAsia="Arial" w:cs="Arial" w:ascii="Arial" w:hAnsi="Arial"/>
            <w:color w:val="000000"/>
            <w:sz w:val="20"/>
            <w:szCs w:val="20"/>
            <w:u w:val="none"/>
          </w:rPr>
          <w:tab/>
          <w:t>2025</w:t>
        </w:r>
      </w:hyperlink>
    </w:p>
    <w:p>
      <w:pPr>
        <w:pStyle w:val="LOnormal"/>
        <w:tabs>
          <w:tab w:val="clear" w:pos="720"/>
          <w:tab w:val="right" w:pos="10800" w:leader="none"/>
        </w:tabs>
        <w:spacing w:lineRule="auto" w:line="240" w:before="0" w:after="0"/>
        <w:rPr>
          <w:rFonts w:ascii="Arial" w:hAnsi="Arial" w:eastAsia="Arial" w:cs="Arial"/>
        </w:rPr>
      </w:pPr>
      <w:hyperlink r:id="rId10">
        <w:r>
          <w:rPr>
            <w:rStyle w:val="InternetLink"/>
            <w:rFonts w:eastAsia="Arial" w:cs="Arial" w:ascii="Arial" w:hAnsi="Arial"/>
            <w:color w:val="1155CC"/>
            <w:sz w:val="20"/>
            <w:szCs w:val="20"/>
            <w:u w:val="single"/>
          </w:rPr>
          <w:t>Measuring CP-violating phase in beauty baryon decays</w:t>
        </w:r>
      </w:hyperlink>
      <w:r>
        <w:rPr>
          <w:rFonts w:eastAsia="Arial" w:cs="Arial" w:ascii="Arial" w:hAnsi="Arial"/>
          <w:sz w:val="20"/>
          <w:szCs w:val="20"/>
        </w:rPr>
        <w:t xml:space="preserve">  —  S. Roy et al., </w:t>
      </w:r>
      <w:r>
        <w:rPr>
          <w:rFonts w:eastAsia="Arial" w:cs="Arial" w:ascii="Arial" w:hAnsi="Arial"/>
          <w:i/>
          <w:iCs/>
          <w:sz w:val="20"/>
          <w:szCs w:val="20"/>
        </w:rPr>
        <w:t>Phys.Rev.Lett. 128, 8, 081803</w:t>
      </w:r>
      <w:r>
        <w:rPr>
          <w:rFonts w:eastAsia="Arial" w:cs="Arial" w:ascii="Arial" w:hAnsi="Arial"/>
          <w:sz w:val="20"/>
          <w:szCs w:val="20"/>
        </w:rPr>
        <w:tab/>
        <w:t>2022</w:t>
      </w:r>
    </w:p>
    <w:p>
      <w:pPr>
        <w:pStyle w:val="LOnormal"/>
        <w:tabs>
          <w:tab w:val="clear" w:pos="720"/>
          <w:tab w:val="right" w:pos="10800" w:leader="none"/>
        </w:tabs>
        <w:spacing w:lineRule="auto" w:line="240" w:before="0" w:after="0"/>
        <w:rPr>
          <w:rFonts w:ascii="Arial" w:hAnsi="Arial" w:eastAsia="Arial" w:cs="Arial"/>
        </w:rPr>
      </w:pPr>
      <w:hyperlink r:id="rId11">
        <w:r>
          <w:rPr>
            <w:rStyle w:val="InternetLink"/>
            <w:rFonts w:eastAsia="Arial" w:cs="Arial" w:ascii="Arial" w:hAnsi="Arial"/>
            <w:color w:val="1155CC"/>
            <w:sz w:val="20"/>
            <w:szCs w:val="20"/>
            <w:u w:val="single"/>
          </w:rPr>
          <w:t xml:space="preserve">Complete analysis of all </w:t>
        </w:r>
        <w:r>
          <w:rPr>
            <w:rStyle w:val="InternetLink"/>
          </w:rPr>
          <w:drawing>
            <wp:inline distT="0" distB="0" distL="0" distR="0">
              <wp:extent cx="533400" cy="88900"/>
              <wp:effectExtent l="0" t="0" r="0" b="0"/>
              <wp:docPr id="3" name="Image1" descr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Image1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" cy="889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rStyle w:val="InternetLink"/>
            <w:rFonts w:eastAsia="Arial" w:cs="Arial" w:ascii="Arial" w:hAnsi="Arial"/>
            <w:color w:val="1155CC"/>
            <w:sz w:val="20"/>
            <w:szCs w:val="20"/>
            <w:u w:val="single"/>
          </w:rPr>
          <w:t xml:space="preserve">decays </w:t>
        </w:r>
        <w:r>
          <w:rPr>
            <w:rStyle w:val="InternetLink"/>
            <w:rFonts w:eastAsia="Arial" w:cs="Arial" w:ascii="Arial" w:hAnsi="Arial"/>
            <w:sz w:val="20"/>
            <w:szCs w:val="20"/>
          </w:rPr>
          <w:t xml:space="preserve"> — </w:t>
        </w:r>
      </w:hyperlink>
      <w:r>
        <w:rPr>
          <w:rStyle w:val="InternetLink"/>
          <w:rFonts w:eastAsia="Arial" w:cs="Arial" w:ascii="Arial" w:hAnsi="Arial"/>
          <w:sz w:val="20"/>
          <w:szCs w:val="20"/>
          <w:u w:val="none"/>
        </w:rPr>
        <w:t xml:space="preserve"> </w:t>
      </w:r>
      <w:r>
        <w:rPr>
          <w:rStyle w:val="InternetLink"/>
          <w:rFonts w:eastAsia="Arial" w:cs="Arial" w:ascii="Arial" w:hAnsi="Arial"/>
          <w:color w:val="000000"/>
          <w:sz w:val="20"/>
          <w:szCs w:val="20"/>
          <w:u w:val="none"/>
        </w:rPr>
        <w:t>S. Roy et al.,</w:t>
      </w:r>
      <w:hyperlink r:id="rId13">
        <w:r>
          <w:rPr>
            <w:rStyle w:val="InternetLink"/>
            <w:rFonts w:eastAsia="Arial" w:cs="Arial" w:ascii="Arial" w:hAnsi="Arial"/>
            <w:color w:val="000000"/>
            <w:sz w:val="20"/>
            <w:szCs w:val="20"/>
            <w:u w:val="none"/>
          </w:rPr>
          <w:t xml:space="preserve">  </w:t>
        </w:r>
        <w:r>
          <w:rPr>
            <w:rStyle w:val="InternetLink"/>
            <w:rFonts w:eastAsia="Arial" w:cs="Arial" w:ascii="Arial" w:hAnsi="Arial"/>
            <w:i/>
            <w:iCs/>
            <w:color w:val="000000"/>
            <w:sz w:val="20"/>
            <w:szCs w:val="20"/>
            <w:u w:val="none"/>
          </w:rPr>
          <w:t>Phys.Rev.D 104, 9, 095025</w:t>
        </w:r>
        <w:r>
          <w:rPr>
            <w:rStyle w:val="InternetLink"/>
            <w:rFonts w:eastAsia="Arial" w:cs="Arial" w:ascii="Arial" w:hAnsi="Arial"/>
            <w:color w:val="000000"/>
            <w:sz w:val="20"/>
            <w:szCs w:val="20"/>
            <w:u w:val="none"/>
          </w:rPr>
          <w:tab/>
          <w:t>2021</w:t>
        </w:r>
      </w:hyperlink>
    </w:p>
    <w:p>
      <w:pPr>
        <w:pStyle w:val="LOnormal"/>
        <w:tabs>
          <w:tab w:val="clear" w:pos="720"/>
          <w:tab w:val="right" w:pos="10800" w:leader="none"/>
        </w:tabs>
        <w:spacing w:lineRule="auto" w:line="240" w:before="0" w:after="0"/>
        <w:rPr>
          <w:rFonts w:ascii="Arial" w:hAnsi="Arial" w:eastAsia="Arial" w:cs="Arial"/>
        </w:rPr>
      </w:pPr>
      <w:hyperlink r:id="rId14">
        <w:r>
          <w:rPr>
            <w:rStyle w:val="InternetLink"/>
            <w:rFonts w:eastAsia="Arial" w:cs="Arial" w:ascii="Arial" w:hAnsi="Arial"/>
            <w:color w:val="1155CC"/>
            <w:sz w:val="20"/>
            <w:szCs w:val="20"/>
            <w:u w:val="single"/>
          </w:rPr>
          <w:t>Beauty baryon nonleptonic decays into decuplet baryons…</w:t>
        </w:r>
      </w:hyperlink>
      <w:r>
        <w:rPr>
          <w:rFonts w:eastAsia="Arial" w:cs="Arial" w:ascii="Arial" w:hAnsi="Arial"/>
          <w:sz w:val="20"/>
          <w:szCs w:val="20"/>
        </w:rPr>
        <w:t xml:space="preserve"> —  S. Roy et al., </w:t>
      </w:r>
      <w:r>
        <w:rPr>
          <w:rFonts w:eastAsia="Arial" w:cs="Arial" w:ascii="Arial" w:hAnsi="Arial"/>
          <w:i/>
          <w:iCs/>
          <w:sz w:val="20"/>
          <w:szCs w:val="20"/>
        </w:rPr>
        <w:t>Phys.Rev.D 102, 5, 053007</w:t>
      </w:r>
      <w:r>
        <w:rPr>
          <w:rFonts w:eastAsia="Arial" w:cs="Arial" w:ascii="Arial" w:hAnsi="Arial"/>
          <w:sz w:val="20"/>
          <w:szCs w:val="20"/>
        </w:rPr>
        <w:tab/>
        <w:t>2020</w:t>
      </w:r>
    </w:p>
    <w:p>
      <w:pPr>
        <w:pStyle w:val="LOnormal"/>
        <w:tabs>
          <w:tab w:val="clear" w:pos="720"/>
          <w:tab w:val="right" w:pos="10800" w:leader="none"/>
        </w:tabs>
        <w:spacing w:lineRule="auto" w:line="240" w:before="0" w:after="0"/>
        <w:rPr>
          <w:rFonts w:ascii="Arial" w:hAnsi="Arial" w:eastAsia="Arial" w:cs="Arial"/>
        </w:rPr>
      </w:pPr>
      <w:hyperlink r:id="rId15">
        <w:r>
          <w:rPr>
            <w:rStyle w:val="InternetLink"/>
            <w:rFonts w:eastAsia="Arial" w:cs="Arial" w:ascii="Arial" w:hAnsi="Arial"/>
            <w:color w:val="1155CC"/>
            <w:sz w:val="20"/>
            <w:szCs w:val="20"/>
            <w:u w:val="single"/>
          </w:rPr>
          <w:t>Nonleptonic beauty baryon decays and CP-asymmetries…</w:t>
        </w:r>
      </w:hyperlink>
      <w:r>
        <w:rPr>
          <w:rFonts w:eastAsia="Arial" w:cs="Arial" w:ascii="Arial" w:hAnsi="Arial"/>
          <w:sz w:val="20"/>
          <w:szCs w:val="20"/>
        </w:rPr>
        <w:t xml:space="preserve">  —  S. Roy et al., </w:t>
      </w:r>
      <w:r>
        <w:rPr>
          <w:rFonts w:eastAsia="Arial" w:cs="Arial" w:ascii="Arial" w:hAnsi="Arial"/>
          <w:i/>
          <w:iCs/>
          <w:sz w:val="20"/>
          <w:szCs w:val="20"/>
        </w:rPr>
        <w:t>Phys.Rev.D 101, 3, 036018</w:t>
      </w:r>
      <w:r>
        <w:rPr>
          <w:rFonts w:eastAsia="Arial" w:cs="Arial" w:ascii="Arial" w:hAnsi="Arial"/>
          <w:sz w:val="20"/>
          <w:szCs w:val="20"/>
        </w:rPr>
        <w:tab/>
        <w:t>2020</w:t>
      </w:r>
    </w:p>
    <w:p>
      <w:pPr>
        <w:pStyle w:val="LOnormal"/>
        <w:tabs>
          <w:tab w:val="clear" w:pos="720"/>
          <w:tab w:val="right" w:pos="10800" w:leader="none"/>
        </w:tabs>
        <w:spacing w:lineRule="auto" w:line="240" w:before="0" w:after="0"/>
        <w:rPr>
          <w:rFonts w:ascii="Arial" w:hAnsi="Arial" w:eastAsia="Arial" w:cs="Arial"/>
        </w:rPr>
      </w:pPr>
      <w:hyperlink r:id="rId16">
        <w:r>
          <w:rPr>
            <w:rStyle w:val="InternetLink"/>
            <w:rFonts w:eastAsia="Arial" w:cs="Arial" w:ascii="Arial" w:hAnsi="Arial"/>
            <w:color w:val="1155CC"/>
            <w:sz w:val="20"/>
            <w:szCs w:val="20"/>
            <w:u w:val="single"/>
          </w:rPr>
          <w:t>Radiative b-baryon decays to measure the photon…polarization</w:t>
        </w:r>
      </w:hyperlink>
      <w:r>
        <w:rPr>
          <w:rFonts w:eastAsia="Arial" w:cs="Arial" w:ascii="Arial" w:hAnsi="Arial"/>
          <w:sz w:val="20"/>
          <w:szCs w:val="20"/>
        </w:rPr>
        <w:t xml:space="preserve">  —  S. Roy et al., </w:t>
      </w:r>
      <w:r>
        <w:rPr>
          <w:rFonts w:eastAsia="Arial" w:cs="Arial" w:ascii="Arial" w:hAnsi="Arial"/>
          <w:i/>
          <w:iCs/>
          <w:sz w:val="20"/>
          <w:szCs w:val="20"/>
        </w:rPr>
        <w:t>Eur.Phys.J.C 79, 7, 634</w:t>
      </w:r>
      <w:r>
        <w:rPr>
          <w:rFonts w:eastAsia="Arial" w:cs="Arial" w:ascii="Arial" w:hAnsi="Arial"/>
          <w:sz w:val="20"/>
          <w:szCs w:val="20"/>
        </w:rPr>
        <w:tab/>
        <w:t>2019</w:t>
      </w:r>
    </w:p>
    <w:p>
      <w:pPr>
        <w:pStyle w:val="LOnormal"/>
        <w:tabs>
          <w:tab w:val="clear" w:pos="720"/>
          <w:tab w:val="right" w:pos="10800" w:leader="none"/>
        </w:tabs>
        <w:spacing w:lineRule="auto" w:line="240" w:before="0" w:after="0"/>
        <w:ind w:left="0" w:hanging="0"/>
        <w:rPr>
          <w:rFonts w:ascii="Arial" w:hAnsi="Arial" w:eastAsia="Arial" w:cs="Arial"/>
        </w:rPr>
      </w:pPr>
      <w:hyperlink r:id="rId17">
        <w:r>
          <w:rPr>
            <w:rStyle w:val="InternetLink"/>
            <w:rFonts w:eastAsia="Arial" w:cs="Arial" w:ascii="Arial" w:hAnsi="Arial"/>
            <w:b w:val="false"/>
            <w:bCs w:val="false"/>
            <w:i w:val="false"/>
            <w:iCs w:val="false"/>
            <w:color w:val="1155CC"/>
            <w:sz w:val="20"/>
            <w:szCs w:val="20"/>
            <w:u w:val="single"/>
          </w:rPr>
          <w:t xml:space="preserve">Lepton mass effects and angular observables in </w:t>
        </w:r>
        <w:r>
          <w:rPr>
            <w:rStyle w:val="InternetLink"/>
          </w:rPr>
          <w:drawing>
            <wp:inline distT="0" distB="0" distL="0" distR="0">
              <wp:extent cx="939800" cy="120015"/>
              <wp:effectExtent l="0" t="0" r="0" b="0"/>
              <wp:docPr id="4" name="image1.png" descr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1.png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39800" cy="1200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>
        <w:rPr>
          <w:rFonts w:eastAsia="Arial" w:cs="Arial" w:ascii="Arial" w:hAnsi="Arial"/>
          <w:b w:val="false"/>
          <w:bCs w:val="false"/>
          <w:i w:val="false"/>
          <w:iCs w:val="false"/>
          <w:color w:val="1155CC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  <w:u w:val="none"/>
        </w:rPr>
        <w:t>—  S.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</w:rPr>
        <w:t xml:space="preserve"> Roy et al., </w:t>
      </w:r>
      <w:r>
        <w:rPr>
          <w:rFonts w:eastAsia="Arial" w:cs="Arial" w:ascii="Arial" w:hAnsi="Arial"/>
          <w:i/>
          <w:iCs/>
          <w:color w:val="000000"/>
          <w:sz w:val="20"/>
          <w:szCs w:val="20"/>
          <w:u w:val="none"/>
        </w:rPr>
        <w:t>Phys.Rev.D 96, 11, 116005</w:t>
        <w:tab/>
        <w:t xml:space="preserve">      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</w:rPr>
        <w:t>2017</w:t>
      </w:r>
    </w:p>
    <w:sectPr>
      <w:type w:val="nextPage"/>
      <w:pgSz w:w="12240" w:h="15840"/>
      <w:pgMar w:left="720" w:right="720" w:header="0" w:top="562" w:footer="0" w:bottom="72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2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link w:val="BodyTex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/>
    <w:rPr/>
  </w:style>
  <w:style w:type="paragraph" w:styleId="LOnormal">
    <w:name w:val="LO-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Cambria" w:cs="Cambria"/>
      <w:color w:val="auto"/>
      <w:kern w:val="0"/>
      <w:sz w:val="22"/>
      <w:szCs w:val="22"/>
      <w:lang w:val="en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shibasis-roy-8627083b0" TargetMode="External"/><Relationship Id="rId3" Type="http://schemas.openxmlformats.org/officeDocument/2006/relationships/hyperlink" Target="https://shibasisr.github.io/" TargetMode="External"/><Relationship Id="rId4" Type="http://schemas.openxmlformats.org/officeDocument/2006/relationships/hyperlink" Target="https://github.com/Erdos-Projects/summer26-aurora-visibility-predictions" TargetMode="External"/><Relationship Id="rId5" Type="http://schemas.openxmlformats.org/officeDocument/2006/relationships/hyperlink" Target="https://doi.org/10.1016/j.physletb.2025.139838" TargetMode="External"/><Relationship Id="rId6" Type="http://schemas.openxmlformats.org/officeDocument/2006/relationships/hyperlink" Target="https://doi.org/10.1103/PhysRevD.111.075029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hyperlink" Target="https://doi.org/10.1103/PhysRevD.111.075029" TargetMode="External"/><Relationship Id="rId10" Type="http://schemas.openxmlformats.org/officeDocument/2006/relationships/hyperlink" Target="https://doi.org/10.1103/PhysRevLett.128.081803" TargetMode="External"/><Relationship Id="rId11" Type="http://schemas.openxmlformats.org/officeDocument/2006/relationships/hyperlink" Target="https://doi.org/10.1103/PhysRevD.104.095025" TargetMode="External"/><Relationship Id="rId12" Type="http://schemas.openxmlformats.org/officeDocument/2006/relationships/image" Target="media/image3.png"/><Relationship Id="rId13" Type="http://schemas.openxmlformats.org/officeDocument/2006/relationships/hyperlink" Target="https://doi.org/10.1103/PhysRevD.104.095025" TargetMode="External"/><Relationship Id="rId14" Type="http://schemas.openxmlformats.org/officeDocument/2006/relationships/hyperlink" Target="https://doi.org/10.1103/PhysRevD.102.053007" TargetMode="External"/><Relationship Id="rId15" Type="http://schemas.openxmlformats.org/officeDocument/2006/relationships/hyperlink" Target="https://doi.org/10.1103/PhysRevD.101.036018" TargetMode="External"/><Relationship Id="rId16" Type="http://schemas.openxmlformats.org/officeDocument/2006/relationships/hyperlink" Target="https://doi.org/10.1140/epjc/s10052-019-7123-7" TargetMode="External"/><Relationship Id="rId17" Type="http://schemas.openxmlformats.org/officeDocument/2006/relationships/hyperlink" Target="https://doi.org/10.1103/PhysRevD.96.116005" TargetMode="External"/><Relationship Id="rId18" Type="http://schemas.openxmlformats.org/officeDocument/2006/relationships/image" Target="media/image4.png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2538</TotalTime>
  <Application>LibreOffice/6.4.7.2$Linux_X86_64 LibreOffice_project/40$Build-2</Application>
  <Pages>2</Pages>
  <Words>786</Words>
  <Characters>5420</Characters>
  <CharactersWithSpaces>6214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en-IN</dc:language>
  <cp:lastModifiedBy/>
  <dcterms:modified xsi:type="dcterms:W3CDTF">2026-08-06T09:14:13Z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