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left" w:pos="8639" w:leader="none"/>
          <w:tab w:val="right" w:pos="11343" w:leader="none"/>
        </w:tabs>
        <w:spacing w:lineRule="auto" w:line="240" w:before="0" w:after="20"/>
        <w:jc w:val="center"/>
        <w:rPr>
          <w:rFonts w:ascii="Arial" w:hAnsi="Arial" w:eastAsia="Arial" w:cs="Arial"/>
          <w:sz w:val="30"/>
          <w:szCs w:val="30"/>
        </w:rPr>
      </w:pPr>
      <w:r>
        <w:rPr>
          <w:rFonts w:eastAsia="Arial" w:cs="Arial" w:ascii="Arial" w:hAnsi="Arial"/>
          <w:b/>
          <w:bCs/>
          <w:sz w:val="30"/>
          <w:szCs w:val="30"/>
        </w:rPr>
        <w:t>Shibasis Roy</w:t>
      </w:r>
    </w:p>
    <w:p>
      <w:pPr>
        <w:pStyle w:val="Normal"/>
        <w:spacing w:lineRule="auto" w:line="240" w:before="0" w:after="6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+1 (831) 440-6136  |  Santa Monica, CA  |  shibasis.cmi@gmail.com  |  </w:t>
      </w:r>
      <w:hyperlink r:id="rId2"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single"/>
          </w:rPr>
          <w:t>Linkedin</w:t>
        </w:r>
      </w:hyperlink>
      <w:r>
        <w:rPr>
          <w:rFonts w:eastAsia="Arial" w:cs="Arial" w:ascii="Arial" w:hAnsi="Arial"/>
          <w:sz w:val="20"/>
          <w:szCs w:val="20"/>
        </w:rPr>
        <w:t xml:space="preserve">  |  </w:t>
      </w:r>
      <w:hyperlink r:id="rId3"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single"/>
          </w:rPr>
          <w:t>shibasisr.github.io</w:t>
        </w:r>
      </w:hyperlink>
    </w:p>
    <w:p>
      <w:pPr>
        <w:pStyle w:val="Normal"/>
        <w:pBdr>
          <w:bottom w:val="single" w:sz="6" w:space="1" w:color="000000"/>
        </w:pBdr>
        <w:spacing w:lineRule="auto" w:line="240" w:before="80" w:after="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SUMMARY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Physicist with 5+ years of research experience building machine learning classifiers, time-series models, and Bayesian statistical frameworks for high-dimensional physics data. Independently developed an end-to-end ML forecasting pipeline alongside research code adopted by CERN collaborators. 2+ years of university-level teaching experience.</w:t>
      </w:r>
    </w:p>
    <w:p>
      <w:pPr>
        <w:pStyle w:val="Normal"/>
        <w:pBdr>
          <w:bottom w:val="single" w:sz="6" w:space="1" w:color="000000"/>
        </w:pBdr>
        <w:spacing w:lineRule="auto" w:line="240" w:before="80" w:after="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SKILLS &amp; CERTIFICATIONS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 xml:space="preserve">Technical Skills: </w:t>
      </w:r>
      <w:r>
        <w:rPr>
          <w:rFonts w:eastAsia="Arial" w:cs="Arial" w:ascii="Arial" w:hAnsi="Arial"/>
          <w:sz w:val="20"/>
          <w:szCs w:val="20"/>
        </w:rPr>
        <w:t>Python (NumPy, SciPy, Pandas, Scikit-learn, Statsmodels, PyTorch), Matplotlib, Seaborn, Mathematica, C++ (GEANT4 simulation toolkit), AI-assisted development (Claude Code), Git/GitHub, PyROOT, SQL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 xml:space="preserve">Domains: </w:t>
      </w:r>
      <w:r>
        <w:rPr>
          <w:rFonts w:eastAsia="Arial" w:cs="Arial" w:ascii="Arial" w:hAnsi="Arial"/>
          <w:sz w:val="20"/>
          <w:szCs w:val="20"/>
        </w:rPr>
        <w:t>machine learning (decision trees, neural networks), time series analysis, statistical modeling, Bayesian inference, Monte Carlo simulation, multi-dimensional angular-distribution / dynamical modeling, symbolic computation &amp; automated derivation, SU(3)-flavor symmetry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 xml:space="preserve">Broader interests: </w:t>
      </w:r>
      <w:r>
        <w:rPr>
          <w:rFonts w:eastAsia="Arial" w:cs="Arial" w:ascii="Arial" w:hAnsi="Arial"/>
          <w:sz w:val="20"/>
          <w:szCs w:val="20"/>
        </w:rPr>
        <w:t>Applied Probability, Computational Physics &amp; Scientific Computing, Workflow Automation, Technical Communication</w:t>
      </w:r>
    </w:p>
    <w:p>
      <w:pPr>
        <w:pStyle w:val="Normal"/>
        <w:pBdr>
          <w:bottom w:val="single" w:sz="6" w:space="1" w:color="000000"/>
        </w:pBdr>
        <w:spacing w:lineRule="auto" w:line="240" w:before="80" w:after="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EDUCATION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widowControl/>
        <w:tabs>
          <w:tab w:val="clear" w:pos="720"/>
          <w:tab w:val="right" w:pos="10800" w:leader="none"/>
        </w:tabs>
        <w:suppressAutoHyphens w:val="true"/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Ph.D. &amp; M.Sc. in Physics</w:t>
      </w:r>
      <w:r>
        <w:rPr>
          <w:rFonts w:eastAsia="Arial" w:cs="Arial" w:ascii="Arial" w:hAnsi="Arial"/>
          <w:sz w:val="20"/>
          <w:szCs w:val="20"/>
        </w:rPr>
        <w:t>, Institute of Mathematical Sciences, Chennai, India (GPA: 8.9/10)</w:t>
        <w:tab/>
      </w:r>
      <w:r>
        <w:rPr>
          <w:rFonts w:eastAsia="Arial" w:cs="Arial" w:ascii="Arial" w:hAnsi="Arial"/>
          <w:b/>
          <w:bCs/>
          <w:sz w:val="20"/>
          <w:szCs w:val="20"/>
        </w:rPr>
        <w:t>July 2015 – Sept 2021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Thesis: SU(3)-flavor analysis of hadronic bottom baryon decays; Adviser: Prof. Rahul Sinha.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Junior Research Fellowship, Joint CSIR-UGC NET in Physical Sciences (2015).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Full scholarship awarded through JEST for basic science Integrated PhD program.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widowControl/>
        <w:tabs>
          <w:tab w:val="clear" w:pos="720"/>
          <w:tab w:val="right" w:pos="10800" w:leader="none"/>
        </w:tabs>
        <w:suppressAutoHyphens w:val="true"/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B.Sc. (Honors) in Physics</w:t>
      </w:r>
      <w:r>
        <w:rPr>
          <w:rFonts w:eastAsia="Arial" w:cs="Arial" w:ascii="Arial" w:hAnsi="Arial"/>
          <w:sz w:val="20"/>
          <w:szCs w:val="20"/>
        </w:rPr>
        <w:t>, Chennai Mathematical Institute, Chennai, India (GPA: 8.40/10)</w:t>
        <w:tab/>
      </w:r>
      <w:r>
        <w:rPr>
          <w:rFonts w:eastAsia="Arial" w:cs="Arial" w:ascii="Arial" w:hAnsi="Arial"/>
          <w:b/>
          <w:bCs/>
          <w:sz w:val="20"/>
          <w:szCs w:val="20"/>
        </w:rPr>
        <w:t>Aug 2010 – July 2013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Full Scholarship, National Undergraduate Programme in Mathematical Sciences.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“</w:t>
      </w:r>
      <w:r>
        <w:rPr>
          <w:rFonts w:eastAsia="Arial" w:cs="Arial" w:ascii="Arial" w:hAnsi="Arial"/>
          <w:sz w:val="20"/>
          <w:szCs w:val="20"/>
        </w:rPr>
        <w:t>INSPIRE” fellowship under Kishor Vaigyanik Protshahan Yojana (KVPY).</w:t>
      </w:r>
    </w:p>
    <w:p>
      <w:pPr>
        <w:pStyle w:val="Normal"/>
        <w:pBdr>
          <w:bottom w:val="single" w:sz="6" w:space="1" w:color="000000"/>
        </w:pBdr>
        <w:spacing w:lineRule="auto" w:line="240" w:before="80" w:after="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EXPERIENCE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4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LHCb Research Group</w:t>
      </w:r>
      <w:r>
        <w:rPr>
          <w:rFonts w:eastAsia="Arial" w:cs="Arial" w:ascii="Arial" w:hAnsi="Arial"/>
          <w:sz w:val="20"/>
          <w:szCs w:val="20"/>
        </w:rPr>
        <w:t xml:space="preserve">, Eotvos Lorand University, Budapest  </w:t>
      </w:r>
      <w:r>
        <w:rPr>
          <w:rFonts w:eastAsia="Arial" w:cs="Arial" w:ascii="Arial" w:hAnsi="Arial"/>
          <w:b/>
          <w:bCs/>
          <w:sz w:val="20"/>
          <w:szCs w:val="20"/>
        </w:rPr>
        <w:t>Postdoctoral Researcher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b/>
          <w:bCs/>
          <w:sz w:val="20"/>
          <w:szCs w:val="20"/>
        </w:rPr>
        <w:t>July 2025 – Present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Translated theoretical rare-decay models into Monte Carlo simulation code (GEANT4/C++, PyROOT), improving simulation efficiency and cutting computation time 10% through algorithmic optimization.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Diagnosed and fixed an accuracy problem in a vertex-reconstruction algorithm for tau leptons, improving reconstruction efficiency 20% and cutting misreconstructed events 10%.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Built and validated ML classifiers (decision trees, neural networks) for tau identification in multi-body decay channels, achieving 85% classification accuracy.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Conducted data analysis, statistical modeling, and visualization using Python (NumPy, SciPy, Pandas), PyROOT, and GEANT4.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Designed a quantitative framework to predict CP violation in baryons and shared the results with experimental collaborators at CERN.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4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Handshake</w:t>
      </w:r>
      <w:r>
        <w:rPr>
          <w:rFonts w:eastAsia="Arial" w:cs="Arial" w:ascii="Arial" w:hAnsi="Arial"/>
          <w:sz w:val="20"/>
          <w:szCs w:val="20"/>
        </w:rPr>
        <w:t xml:space="preserve"> Model Validation Expert (MOVE)  </w:t>
      </w:r>
      <w:r>
        <w:rPr>
          <w:rFonts w:eastAsia="Arial" w:cs="Arial" w:ascii="Arial" w:hAnsi="Arial"/>
          <w:b/>
          <w:bCs/>
          <w:sz w:val="20"/>
          <w:szCs w:val="20"/>
        </w:rPr>
        <w:t>Physics AI Trainer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b/>
          <w:bCs/>
          <w:sz w:val="20"/>
          <w:szCs w:val="20"/>
        </w:rPr>
        <w:t>June 2025 – July 2025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Evaluated AI models against rigorous physics reasoning, identifying majority-case (&gt;50%) reasoning errors and correcting model approaches — judging whether an answer is actually correct, not just plausible.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Partnered with cross-disciplinary experts to translate domain-specific correctness criteria into AI training signal.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4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University of California, Santa Cruz</w:t>
      </w:r>
      <w:r>
        <w:rPr>
          <w:rFonts w:eastAsia="Arial" w:cs="Arial" w:ascii="Arial" w:hAnsi="Arial"/>
          <w:sz w:val="20"/>
          <w:szCs w:val="20"/>
        </w:rPr>
        <w:t xml:space="preserve">  </w:t>
      </w:r>
      <w:r>
        <w:rPr>
          <w:rFonts w:eastAsia="Arial" w:cs="Arial" w:ascii="Arial" w:hAnsi="Arial"/>
          <w:b/>
          <w:bCs/>
          <w:sz w:val="20"/>
          <w:szCs w:val="20"/>
        </w:rPr>
        <w:t>Visiting Postdoctoral Researcher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b/>
          <w:bCs/>
          <w:sz w:val="20"/>
          <w:szCs w:val="20"/>
        </w:rPr>
        <w:t>Oct 2023 – May 2025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Led two independent, data-driven research projects (Python, Mathematica) end-to-end: statistical analysis, cross-validation, hypothesis testing, and a custom Monte Carlo event-rate/detector-acceptance simulator.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Delivered results at international conferences (APS DPF-Pheno, APS April Meeting, and others); findings adopted as reference predictions by experimental collaborators, garnering over 40 citations.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4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Chennai Mathematical Institute</w:t>
      </w:r>
      <w:r>
        <w:rPr>
          <w:rFonts w:eastAsia="Arial" w:cs="Arial" w:ascii="Arial" w:hAnsi="Arial"/>
          <w:sz w:val="20"/>
          <w:szCs w:val="20"/>
        </w:rPr>
        <w:t xml:space="preserve">, Chennai  </w:t>
      </w:r>
      <w:r>
        <w:rPr>
          <w:rFonts w:eastAsia="Arial" w:cs="Arial" w:ascii="Arial" w:hAnsi="Arial"/>
          <w:b/>
          <w:bCs/>
          <w:sz w:val="20"/>
          <w:szCs w:val="20"/>
        </w:rPr>
        <w:t>Postdoctoral Fellow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b/>
          <w:bCs/>
          <w:sz w:val="20"/>
          <w:szCs w:val="20"/>
        </w:rPr>
        <w:t>April 2023 – March 2024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Built a data-driven parameter extraction framework in Mathematica, applying constrained optimization to fit theoretical models to experimental measurements.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Attended a graduate-level financial mathematics course for data science students, gaining exposure to core quantitative methods.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4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4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4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University of Calcutta</w:t>
      </w:r>
      <w:r>
        <w:rPr>
          <w:rFonts w:eastAsia="Arial" w:cs="Arial" w:ascii="Arial" w:hAnsi="Arial"/>
          <w:sz w:val="20"/>
          <w:szCs w:val="20"/>
        </w:rPr>
        <w:t xml:space="preserve">, Kolkata  </w:t>
      </w:r>
      <w:r>
        <w:rPr>
          <w:rFonts w:eastAsia="Arial" w:cs="Arial" w:ascii="Arial" w:hAnsi="Arial"/>
          <w:b/>
          <w:bCs/>
          <w:sz w:val="20"/>
          <w:szCs w:val="20"/>
        </w:rPr>
        <w:t>Postdoctoral Research Associate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b/>
          <w:bCs/>
          <w:sz w:val="20"/>
          <w:szCs w:val="20"/>
        </w:rPr>
        <w:t>Dec 2020 – Dec 2022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Led a data-intensive Bayesian analysis demonstrating that apparent theory-experiment discrepancies were statistically insignificant (&lt;2σ), providing actionable guidance to experimental collaborators.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4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Institute of Mathematical Sciences, Chennai</w:t>
      </w:r>
      <w:r>
        <w:rPr>
          <w:rFonts w:eastAsia="Arial" w:cs="Arial" w:ascii="Arial" w:hAnsi="Arial"/>
          <w:sz w:val="20"/>
          <w:szCs w:val="20"/>
        </w:rPr>
        <w:t xml:space="preserve">  </w:t>
      </w:r>
      <w:r>
        <w:rPr>
          <w:rFonts w:eastAsia="Arial" w:cs="Arial" w:ascii="Arial" w:hAnsi="Arial"/>
          <w:b/>
          <w:bCs/>
          <w:sz w:val="20"/>
          <w:szCs w:val="20"/>
        </w:rPr>
        <w:t>Doctoral Research Fellow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b/>
          <w:bCs/>
          <w:sz w:val="20"/>
          <w:szCs w:val="20"/>
        </w:rPr>
        <w:t>Aug 2015 – Dec 2020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Built a symbolic computation tool (Python, Mathematica) automating SU(3) group-theoretic decomposition of particle decay amplitudes, cutting a multi-day manual derivation process to minutes.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Designed simulation frameworks to model multi-dimensional angular distributions, enabling robust parameter extraction from high-dimensional data.</w:t>
      </w:r>
    </w:p>
    <w:p>
      <w:pPr>
        <w:pStyle w:val="Normal"/>
        <w:pBdr>
          <w:bottom w:val="single" w:sz="6" w:space="1" w:color="000000"/>
        </w:pBdr>
        <w:spacing w:lineRule="auto" w:line="240" w:before="80" w:after="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PROJECTS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40" w:after="0"/>
        <w:rPr>
          <w:rFonts w:ascii="Arial" w:hAnsi="Arial" w:eastAsia="Arial" w:cs="Arial"/>
          <w:sz w:val="20"/>
          <w:szCs w:val="20"/>
        </w:rPr>
      </w:pPr>
      <w:hyperlink r:id="rId4">
        <w:r>
          <w:rPr>
            <w:rStyle w:val="InternetLink"/>
            <w:rFonts w:eastAsia="Arial" w:cs="Arial" w:ascii="Arial" w:hAnsi="Arial"/>
            <w:b/>
            <w:bCs/>
            <w:sz w:val="20"/>
            <w:szCs w:val="20"/>
          </w:rPr>
          <w:t>Aurora Visibility Prediction</w:t>
        </w:r>
      </w:hyperlink>
      <w:r>
        <w:rPr>
          <w:rFonts w:eastAsia="Arial" w:cs="Arial" w:ascii="Arial" w:hAnsi="Arial"/>
          <w:sz w:val="20"/>
          <w:szCs w:val="20"/>
        </w:rPr>
        <w:t xml:space="preserve">  |  Python, Pandas, Scikit-learn, Statsmodels, XGBoost, InterpretML  </w:t>
        <w:tab/>
      </w:r>
      <w:r>
        <w:rPr>
          <w:rFonts w:eastAsia="Arial" w:cs="Arial" w:ascii="Arial" w:hAnsi="Arial"/>
          <w:b/>
          <w:bCs/>
          <w:sz w:val="20"/>
          <w:szCs w:val="20"/>
        </w:rPr>
        <w:t>June 2026 – Present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Independently developing an end-to-end ML pipeline to predict aurora visibility using 22,000+ citizen science observations (2014–2025) merged with NASA OMNI2 solar wind data (Kp index, Bz GSM, solar wind velocity) and open-source Open-Meteo weather data (cloud cover, moon phase).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Engineered geomagnetic time-series features with leave-one-region-out validation, including 3-hourly activity buckets and daily disturbance indices (Ap); built automated ingestion and preprocessing pipelines.</w:t>
      </w:r>
    </w:p>
    <w:p>
      <w:pPr>
        <w:pStyle w:val="Normal"/>
        <w:spacing w:lineRule="auto" w:line="240" w:before="0" w:after="0"/>
        <w:ind w:left="28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● </w:t>
      </w:r>
      <w:r>
        <w:rPr>
          <w:rFonts w:eastAsia="Arial" w:cs="Arial" w:ascii="Arial" w:hAnsi="Arial"/>
          <w:sz w:val="20"/>
          <w:szCs w:val="20"/>
        </w:rPr>
        <w:t>Training classification models to identify space-weather and sky conditions favorable for aurora sightings, targeting real-time prediction and notification applications.</w:t>
      </w:r>
    </w:p>
    <w:p>
      <w:pPr>
        <w:pStyle w:val="Normal"/>
        <w:pBdr>
          <w:bottom w:val="single" w:sz="6" w:space="1" w:color="000000"/>
        </w:pBdr>
        <w:spacing w:lineRule="auto" w:line="240" w:before="80" w:after="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PUBLICATIONS</w:t>
      </w:r>
    </w:p>
    <w:p>
      <w:pPr>
        <w:pStyle w:val="Normal"/>
        <w:spacing w:lineRule="auto" w:line="240" w:before="0" w:after="0"/>
        <w:ind w:left="0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normal"/>
        <w:tabs>
          <w:tab w:val="clear" w:pos="720"/>
          <w:tab w:val="right" w:pos="10800" w:leader="none"/>
        </w:tabs>
        <w:spacing w:lineRule="auto" w:line="240" w:before="0" w:after="0"/>
        <w:rPr>
          <w:rFonts w:ascii="Arial" w:hAnsi="Arial" w:eastAsia="Arial" w:cs="Arial"/>
        </w:rPr>
      </w:pPr>
      <w:hyperlink r:id="rId5"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single"/>
          </w:rPr>
          <w:t>CP-violation and U-spin symmetry in four-body bottom baryon decays</w:t>
        </w:r>
      </w:hyperlink>
      <w:r>
        <w:rPr>
          <w:rFonts w:eastAsia="Arial" w:cs="Arial" w:ascii="Arial" w:hAnsi="Arial"/>
          <w:sz w:val="20"/>
          <w:szCs w:val="20"/>
        </w:rPr>
        <w:t xml:space="preserve">  —  S. Roy, </w:t>
      </w:r>
      <w:r>
        <w:rPr>
          <w:rFonts w:eastAsia="Arial" w:cs="Arial" w:ascii="Arial" w:hAnsi="Arial"/>
          <w:i/>
          <w:iCs/>
          <w:sz w:val="20"/>
          <w:szCs w:val="20"/>
        </w:rPr>
        <w:t>Phys.Lett.B 869, 139838</w:t>
      </w:r>
      <w:r>
        <w:rPr>
          <w:rFonts w:eastAsia="Arial" w:cs="Arial" w:ascii="Arial" w:hAnsi="Arial"/>
          <w:sz w:val="20"/>
          <w:szCs w:val="20"/>
        </w:rPr>
        <w:tab/>
        <w:t>2025</w:t>
      </w:r>
    </w:p>
    <w:p>
      <w:pPr>
        <w:pStyle w:val="LOnormal"/>
        <w:tabs>
          <w:tab w:val="clear" w:pos="720"/>
          <w:tab w:val="right" w:pos="10800" w:leader="none"/>
        </w:tabs>
        <w:spacing w:lineRule="auto" w:line="240" w:before="0" w:after="0"/>
        <w:rPr>
          <w:rFonts w:ascii="Arial" w:hAnsi="Arial" w:eastAsia="Arial" w:cs="Arial"/>
        </w:rPr>
      </w:pPr>
      <w:hyperlink r:id="rId6"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single"/>
          </w:rPr>
          <w:t xml:space="preserve">Joint explanation of the </w:t>
        </w:r>
        <w:r>
          <w:rPr>
            <w:rStyle w:val="InternetLink"/>
          </w:rPr>
          <w:drawing>
            <wp:inline distT="0" distB="0" distL="0" distR="0">
              <wp:extent cx="533400" cy="88900"/>
              <wp:effectExtent l="0" t="0" r="0" b="0"/>
              <wp:docPr id="1" name="image2.png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2.png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single"/>
          </w:rPr>
          <w:t xml:space="preserve"> puzzle and </w:t>
        </w:r>
        <w:r>
          <w:rPr>
            <w:rStyle w:val="InternetLink"/>
          </w:rPr>
          <w:drawing>
            <wp:inline distT="0" distB="0" distL="0" distR="0">
              <wp:extent cx="609600" cy="88900"/>
              <wp:effectExtent l="0" t="0" r="0" b="0"/>
              <wp:docPr id="2" name="image3.png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3.png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InternetLink"/>
          </w:rPr>
          <w:t xml:space="preserve"> </w:t>
        </w:r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none"/>
          </w:rPr>
          <w:t>excess</w:t>
        </w:r>
        <w:r>
          <w:rPr>
            <w:rStyle w:val="InternetLink"/>
            <w:rFonts w:eastAsia="Arial" w:cs="Arial" w:ascii="Arial" w:hAnsi="Arial"/>
            <w:sz w:val="20"/>
            <w:szCs w:val="20"/>
            <w:u w:val="none"/>
          </w:rPr>
          <w:t xml:space="preserve">  — </w:t>
        </w:r>
      </w:hyperlink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>S. Roy et al.,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i/>
          <w:iCs/>
          <w:color w:val="000000"/>
          <w:sz w:val="20"/>
          <w:szCs w:val="20"/>
          <w:u w:val="none"/>
        </w:rPr>
        <w:t>Phys.Rev.D 111, 7, 075029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ab/>
        <w:t>2025</w:t>
      </w:r>
    </w:p>
    <w:p>
      <w:pPr>
        <w:pStyle w:val="LOnormal"/>
        <w:tabs>
          <w:tab w:val="clear" w:pos="720"/>
          <w:tab w:val="right" w:pos="10800" w:leader="none"/>
        </w:tabs>
        <w:spacing w:lineRule="auto" w:line="240" w:before="0" w:after="0"/>
        <w:rPr>
          <w:rFonts w:ascii="Arial" w:hAnsi="Arial" w:eastAsia="Arial" w:cs="Arial"/>
        </w:rPr>
      </w:pPr>
      <w:hyperlink r:id="rId10"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single"/>
          </w:rPr>
          <w:t>Measuring CP-violating phase in beauty baryon decays</w:t>
        </w:r>
      </w:hyperlink>
      <w:r>
        <w:rPr>
          <w:rFonts w:eastAsia="Arial" w:cs="Arial" w:ascii="Arial" w:hAnsi="Arial"/>
          <w:sz w:val="20"/>
          <w:szCs w:val="20"/>
        </w:rPr>
        <w:t xml:space="preserve">  —  S. Roy et al., </w:t>
      </w:r>
      <w:r>
        <w:rPr>
          <w:rFonts w:eastAsia="Arial" w:cs="Arial" w:ascii="Arial" w:hAnsi="Arial"/>
          <w:i/>
          <w:iCs/>
          <w:sz w:val="20"/>
          <w:szCs w:val="20"/>
        </w:rPr>
        <w:t>Phys.Rev.Lett. 128, 8, 081803</w:t>
      </w:r>
      <w:r>
        <w:rPr>
          <w:rFonts w:eastAsia="Arial" w:cs="Arial" w:ascii="Arial" w:hAnsi="Arial"/>
          <w:sz w:val="20"/>
          <w:szCs w:val="20"/>
        </w:rPr>
        <w:tab/>
        <w:t>2022</w:t>
      </w:r>
    </w:p>
    <w:p>
      <w:pPr>
        <w:pStyle w:val="LOnormal"/>
        <w:tabs>
          <w:tab w:val="clear" w:pos="720"/>
          <w:tab w:val="right" w:pos="10800" w:leader="none"/>
        </w:tabs>
        <w:spacing w:lineRule="auto" w:line="240" w:before="0" w:after="0"/>
        <w:rPr>
          <w:rFonts w:ascii="Arial" w:hAnsi="Arial" w:eastAsia="Arial" w:cs="Arial"/>
        </w:rPr>
      </w:pPr>
      <w:hyperlink r:id="rId11"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single"/>
          </w:rPr>
          <w:t xml:space="preserve">Complete analysis of all </w:t>
        </w:r>
        <w:r>
          <w:rPr>
            <w:rStyle w:val="InternetLink"/>
          </w:rPr>
          <w:drawing>
            <wp:inline distT="0" distB="0" distL="0" distR="0">
              <wp:extent cx="533400" cy="88900"/>
              <wp:effectExtent l="0" t="0" r="0" b="0"/>
              <wp:docPr id="3" name="Image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1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single"/>
          </w:rPr>
          <w:t xml:space="preserve">decays </w:t>
        </w:r>
        <w:r>
          <w:rPr>
            <w:rStyle w:val="InternetLink"/>
            <w:rFonts w:eastAsia="Arial" w:cs="Arial" w:ascii="Arial" w:hAnsi="Arial"/>
            <w:sz w:val="20"/>
            <w:szCs w:val="20"/>
          </w:rPr>
          <w:t xml:space="preserve"> — </w:t>
        </w:r>
      </w:hyperlink>
      <w:r>
        <w:rPr>
          <w:rFonts w:eastAsia="Arial" w:cs="Arial" w:ascii="Arial" w:hAnsi="Arial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>S. Roy et al.,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i/>
          <w:iCs/>
          <w:color w:val="000000"/>
          <w:sz w:val="20"/>
          <w:szCs w:val="20"/>
          <w:u w:val="none"/>
        </w:rPr>
        <w:t>Phys.Rev.D 104, 9, 095025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ab/>
        <w:t>2021</w:t>
      </w:r>
    </w:p>
    <w:p>
      <w:pPr>
        <w:pStyle w:val="LOnormal"/>
        <w:tabs>
          <w:tab w:val="clear" w:pos="720"/>
          <w:tab w:val="right" w:pos="10800" w:leader="none"/>
        </w:tabs>
        <w:spacing w:lineRule="auto" w:line="240" w:before="0" w:after="0"/>
        <w:rPr>
          <w:rFonts w:ascii="Arial" w:hAnsi="Arial" w:eastAsia="Arial" w:cs="Arial"/>
        </w:rPr>
      </w:pPr>
      <w:hyperlink r:id="rId14"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single"/>
          </w:rPr>
          <w:t>Beauty baryon nonleptonic decays into decuplet baryons…</w:t>
        </w:r>
      </w:hyperlink>
      <w:r>
        <w:rPr>
          <w:rFonts w:eastAsia="Arial" w:cs="Arial" w:ascii="Arial" w:hAnsi="Arial"/>
          <w:sz w:val="20"/>
          <w:szCs w:val="20"/>
        </w:rPr>
        <w:t xml:space="preserve"> —  S. Roy et al., </w:t>
      </w:r>
      <w:r>
        <w:rPr>
          <w:rFonts w:eastAsia="Arial" w:cs="Arial" w:ascii="Arial" w:hAnsi="Arial"/>
          <w:i/>
          <w:iCs/>
          <w:sz w:val="20"/>
          <w:szCs w:val="20"/>
        </w:rPr>
        <w:t>Phys.Rev.D 102, 5, 053007</w:t>
      </w:r>
      <w:r>
        <w:rPr>
          <w:rFonts w:eastAsia="Arial" w:cs="Arial" w:ascii="Arial" w:hAnsi="Arial"/>
          <w:sz w:val="20"/>
          <w:szCs w:val="20"/>
        </w:rPr>
        <w:tab/>
        <w:t>2020</w:t>
      </w:r>
    </w:p>
    <w:p>
      <w:pPr>
        <w:pStyle w:val="LOnormal"/>
        <w:tabs>
          <w:tab w:val="clear" w:pos="720"/>
          <w:tab w:val="right" w:pos="10800" w:leader="none"/>
        </w:tabs>
        <w:spacing w:lineRule="auto" w:line="240" w:before="0" w:after="0"/>
        <w:rPr>
          <w:rFonts w:ascii="Arial" w:hAnsi="Arial" w:eastAsia="Arial" w:cs="Arial"/>
        </w:rPr>
      </w:pPr>
      <w:hyperlink r:id="rId15"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single"/>
          </w:rPr>
          <w:t>Nonleptonic beauty baryon decays and CP-asymmetries…</w:t>
        </w:r>
      </w:hyperlink>
      <w:r>
        <w:rPr>
          <w:rFonts w:eastAsia="Arial" w:cs="Arial" w:ascii="Arial" w:hAnsi="Arial"/>
          <w:sz w:val="20"/>
          <w:szCs w:val="20"/>
        </w:rPr>
        <w:t xml:space="preserve">  —  S. Roy et al., </w:t>
      </w:r>
      <w:r>
        <w:rPr>
          <w:rFonts w:eastAsia="Arial" w:cs="Arial" w:ascii="Arial" w:hAnsi="Arial"/>
          <w:i/>
          <w:iCs/>
          <w:sz w:val="20"/>
          <w:szCs w:val="20"/>
        </w:rPr>
        <w:t>Phys.Rev.D 101, 3, 036018</w:t>
      </w:r>
      <w:r>
        <w:rPr>
          <w:rFonts w:eastAsia="Arial" w:cs="Arial" w:ascii="Arial" w:hAnsi="Arial"/>
          <w:sz w:val="20"/>
          <w:szCs w:val="20"/>
        </w:rPr>
        <w:tab/>
        <w:t>2020</w:t>
      </w:r>
    </w:p>
    <w:p>
      <w:pPr>
        <w:pStyle w:val="LOnormal"/>
        <w:tabs>
          <w:tab w:val="clear" w:pos="720"/>
          <w:tab w:val="right" w:pos="10800" w:leader="none"/>
        </w:tabs>
        <w:spacing w:lineRule="auto" w:line="240" w:before="0" w:after="0"/>
        <w:rPr>
          <w:rFonts w:ascii="Arial" w:hAnsi="Arial" w:eastAsia="Arial" w:cs="Arial"/>
        </w:rPr>
      </w:pPr>
      <w:hyperlink r:id="rId16">
        <w:r>
          <w:rPr>
            <w:rStyle w:val="InternetLink"/>
            <w:rFonts w:eastAsia="Arial" w:cs="Arial" w:ascii="Arial" w:hAnsi="Arial"/>
            <w:color w:val="1155CC"/>
            <w:sz w:val="20"/>
            <w:szCs w:val="20"/>
            <w:u w:val="single"/>
          </w:rPr>
          <w:t>Radiative b-baryon decays to measure the photon…polarization</w:t>
        </w:r>
      </w:hyperlink>
      <w:r>
        <w:rPr>
          <w:rFonts w:eastAsia="Arial" w:cs="Arial" w:ascii="Arial" w:hAnsi="Arial"/>
          <w:sz w:val="20"/>
          <w:szCs w:val="20"/>
        </w:rPr>
        <w:t xml:space="preserve">  —  S. Roy et al., </w:t>
      </w:r>
      <w:r>
        <w:rPr>
          <w:rFonts w:eastAsia="Arial" w:cs="Arial" w:ascii="Arial" w:hAnsi="Arial"/>
          <w:i/>
          <w:iCs/>
          <w:sz w:val="20"/>
          <w:szCs w:val="20"/>
        </w:rPr>
        <w:t>Eur.Phys.J.C 79, 7, 634</w:t>
      </w:r>
      <w:r>
        <w:rPr>
          <w:rFonts w:eastAsia="Arial" w:cs="Arial" w:ascii="Arial" w:hAnsi="Arial"/>
          <w:sz w:val="20"/>
          <w:szCs w:val="20"/>
        </w:rPr>
        <w:tab/>
        <w:t>2019</w:t>
      </w:r>
    </w:p>
    <w:p>
      <w:pPr>
        <w:pStyle w:val="LOnormal"/>
        <w:tabs>
          <w:tab w:val="clear" w:pos="720"/>
          <w:tab w:val="right" w:pos="10800" w:leader="none"/>
        </w:tabs>
        <w:spacing w:lineRule="auto" w:line="240" w:before="0" w:after="0"/>
        <w:ind w:left="0" w:hanging="0"/>
        <w:rPr>
          <w:rFonts w:ascii="Arial" w:hAnsi="Arial" w:eastAsia="Arial" w:cs="Arial"/>
        </w:rPr>
      </w:pPr>
      <w:hyperlink r:id="rId17">
        <w:r>
          <w:rPr>
            <w:rStyle w:val="InternetLink"/>
            <w:rFonts w:eastAsia="Arial" w:cs="Arial" w:ascii="Arial" w:hAnsi="Arial"/>
            <w:b w:val="false"/>
            <w:bCs w:val="false"/>
            <w:i w:val="false"/>
            <w:iCs w:val="false"/>
            <w:color w:val="1155CC"/>
            <w:sz w:val="20"/>
            <w:szCs w:val="20"/>
            <w:u w:val="single"/>
          </w:rPr>
          <w:t xml:space="preserve">Lepton mass effects and angular observables in </w:t>
        </w:r>
        <w:r>
          <w:rPr>
            <w:rStyle w:val="InternetLink"/>
          </w:rPr>
          <w:drawing>
            <wp:inline distT="0" distB="0" distL="0" distR="0">
              <wp:extent cx="939800" cy="120015"/>
              <wp:effectExtent l="0" t="0" r="0" b="0"/>
              <wp:docPr id="4" name="image1.png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1.png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39800" cy="120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eastAsia="Arial" w:cs="Arial" w:ascii="Arial" w:hAnsi="Arial"/>
          <w:b w:val="false"/>
          <w:bCs w:val="false"/>
          <w:i w:val="false"/>
          <w:iCs w:val="false"/>
          <w:color w:val="1155CC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0"/>
          <w:szCs w:val="20"/>
          <w:u w:val="none"/>
        </w:rPr>
        <w:t>—  S.</w:t>
      </w:r>
      <w:r>
        <w:rPr>
          <w:rFonts w:eastAsia="Arial" w:cs="Arial" w:ascii="Arial" w:hAnsi="Arial"/>
          <w:i w:val="false"/>
          <w:iCs w:val="false"/>
          <w:color w:val="000000"/>
          <w:sz w:val="20"/>
          <w:szCs w:val="20"/>
          <w:u w:val="none"/>
        </w:rPr>
        <w:t xml:space="preserve"> Roy et al., </w:t>
      </w:r>
      <w:r>
        <w:rPr>
          <w:rFonts w:eastAsia="Arial" w:cs="Arial" w:ascii="Arial" w:hAnsi="Arial"/>
          <w:i/>
          <w:iCs/>
          <w:color w:val="000000"/>
          <w:sz w:val="20"/>
          <w:szCs w:val="20"/>
          <w:u w:val="none"/>
        </w:rPr>
        <w:t>Phys.Rev.D 96, 11, 116005</w:t>
        <w:tab/>
        <w:t xml:space="preserve">      </w:t>
      </w:r>
      <w:r>
        <w:rPr>
          <w:rFonts w:eastAsia="Arial" w:cs="Arial" w:ascii="Arial" w:hAnsi="Arial"/>
          <w:i w:val="false"/>
          <w:iCs w:val="false"/>
          <w:color w:val="000000"/>
          <w:sz w:val="20"/>
          <w:szCs w:val="20"/>
          <w:u w:val="none"/>
        </w:rPr>
        <w:t>2017</w:t>
      </w:r>
    </w:p>
    <w:sectPr>
      <w:type w:val="nextPage"/>
      <w:pgSz w:w="12240" w:h="15840"/>
      <w:pgMar w:left="720" w:right="720" w:header="0" w:top="562" w:footer="0" w:bottom="72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2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LOnormal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shibasis-roy-8627083b0" TargetMode="External"/><Relationship Id="rId3" Type="http://schemas.openxmlformats.org/officeDocument/2006/relationships/hyperlink" Target="https://shibasisr.github.io/" TargetMode="External"/><Relationship Id="rId4" Type="http://schemas.openxmlformats.org/officeDocument/2006/relationships/hyperlink" Target="https://github.com/Erdos-Projects/summer26-aurora-visibility-predictions" TargetMode="External"/><Relationship Id="rId5" Type="http://schemas.openxmlformats.org/officeDocument/2006/relationships/hyperlink" Target="https://doi.org/10.1016/j.physletb.2025.139838" TargetMode="External"/><Relationship Id="rId6" Type="http://schemas.openxmlformats.org/officeDocument/2006/relationships/hyperlink" Target="https://doi.org/10.1103/PhysRevD.111.075029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https://doi.org/10.1103/PhysRevD.111.075029" TargetMode="External"/><Relationship Id="rId10" Type="http://schemas.openxmlformats.org/officeDocument/2006/relationships/hyperlink" Target="https://doi.org/10.1103/PhysRevLett.128.081803" TargetMode="External"/><Relationship Id="rId11" Type="http://schemas.openxmlformats.org/officeDocument/2006/relationships/hyperlink" Target="https://doi.org/10.1103/PhysRevD.104.095025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doi.org/10.1103/PhysRevD.104.095025" TargetMode="External"/><Relationship Id="rId14" Type="http://schemas.openxmlformats.org/officeDocument/2006/relationships/hyperlink" Target="https://doi.org/10.1103/PhysRevD.102.053007" TargetMode="External"/><Relationship Id="rId15" Type="http://schemas.openxmlformats.org/officeDocument/2006/relationships/hyperlink" Target="https://doi.org/10.1103/PhysRevD.101.036018" TargetMode="External"/><Relationship Id="rId16" Type="http://schemas.openxmlformats.org/officeDocument/2006/relationships/hyperlink" Target="https://doi.org/10.1140/epjc/s10052-019-7123-7" TargetMode="External"/><Relationship Id="rId17" Type="http://schemas.openxmlformats.org/officeDocument/2006/relationships/hyperlink" Target="https://doi.org/10.1103/PhysRevD.96.116005" TargetMode="External"/><Relationship Id="rId18" Type="http://schemas.openxmlformats.org/officeDocument/2006/relationships/image" Target="media/image4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2552</TotalTime>
  <Application>LibreOffice/6.4.7.2$Linux_X86_64 LibreOffice_project/40$Build-2</Application>
  <Pages>2</Pages>
  <Words>788</Words>
  <Characters>5432</Characters>
  <CharactersWithSpaces>6227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2026-08-11T18:25:53Z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