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组件说明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APISERVER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：所有服务访问统一入口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ControllerManager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：维持副本期望数目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Scheduler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：负责接受任务，选择合适的节点进行分配任务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ETCD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：键值对数据库  储存K8S集群所有重要信息（持久化）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Kubelet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：直接跟容器引擎交互实现容器的生命周期管理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Kube-proxy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：负责写入规则至 IPTABLES、IPVS 实现服务映射访问的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COREDNS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：可以为集群中的SVC创建一个域名IP的对应关系解析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DASHBOARD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：给 K8S 集群提供一个 B/S 结构访问体系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INGRESS CONTROLLER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：官方只能实现四层代理，INGRESS 可以实现七层代理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FEDERATION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：提供一个可以跨集群中心多K8S统一管理功能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PROMETHEUS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：提供K8S集群的监控能力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ELK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：提供 K8S 集群日志统一分析介入平台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5372F"/>
    <w:rsid w:val="103A51AF"/>
    <w:rsid w:val="1723768E"/>
    <w:rsid w:val="466674B5"/>
    <w:rsid w:val="49807561"/>
    <w:rsid w:val="57BB64C5"/>
    <w:rsid w:val="7D8D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2020-12-29T13:13:00Z</dcterms:created>
  <dc:creator>Administrator</dc:creator>
  <cp:lastModifiedBy>◇我们爱讲冷笑话</cp:lastModifiedBy>
  <dcterms:modified xsi:type="dcterms:W3CDTF">2020-12-29T14:12:15Z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