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0000"/>
          <w:sz w:val="44"/>
        </w:rPr>
        <w:t>One-Page Consulting Point of View</w:t>
      </w:r>
    </w:p>
    <w:p>
      <w:pPr>
        <w:spacing w:after="200"/>
      </w:pPr>
      <w:r>
        <w:rPr>
          <w:rFonts w:ascii="Calibri" w:hAnsi="Calibri"/>
          <w:color w:val="5A626E"/>
          <w:sz w:val="23"/>
        </w:rPr>
        <w:t>Responsible AI Controls Architecture: a practical model for turning AI ethics, risk, and governance expectations into operating controls.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4F6F9"/>
          </w:tcPr>
          <w:p>
            <w:pPr>
              <w:spacing w:after="40"/>
            </w:pPr>
            <w:r>
              <w:rPr>
                <w:rFonts w:ascii="Calibri" w:hAnsi="Calibri"/>
                <w:b/>
                <w:color w:val="1F4D78"/>
                <w:sz w:val="21"/>
              </w:rPr>
              <w:t>Core thesis</w:t>
            </w:r>
          </w:p>
          <w:p>
            <w:pPr>
              <w:spacing w:after="0"/>
            </w:pPr>
            <w:r>
              <w:rPr>
                <w:rFonts w:ascii="Calibri" w:hAnsi="Calibri"/>
                <w:color w:val="1F2A37"/>
                <w:sz w:val="20"/>
              </w:rPr>
              <w:t>Responsible AI maturity is not proven by principles alone. It is proven by whether high-impact AI use cases have clear boundaries, enforceable controls, evidence, ownership, monitoring, and repeatable Day 2 routines.</w:t>
            </w:r>
          </w:p>
        </w:tc>
      </w:tr>
    </w:tbl>
    <w:p>
      <w:pPr>
        <w:pStyle w:val="Heading1"/>
        <w:spacing w:before="200" w:after="100"/>
      </w:pPr>
      <w:r>
        <w:t>Why This Matters</w:t>
      </w:r>
    </w:p>
    <w:p>
      <w:pPr>
        <w:spacing w:after="100" w:line="264" w:lineRule="auto"/>
      </w:pPr>
      <w:r>
        <w:rPr>
          <w:rFonts w:ascii="Calibri" w:hAnsi="Calibri"/>
          <w:color w:val="1F2A37"/>
        </w:rPr>
        <w:t>Boards and regulators increasingly expect organizations to show how AI risks are governed in practice. For regulated enterprises, the critical gap is often not intent; it is execution. Policies describe what should happen, but teams need controls that define what the AI can do, when humans must intervene, what evidence is captured, and how incidents are monitored after deployment.</w:t>
      </w:r>
    </w:p>
    <w:p>
      <w:pPr>
        <w:pStyle w:val="Heading1"/>
        <w:spacing w:before="200" w:after="100"/>
      </w:pPr>
      <w:r>
        <w:t>The Five-Layer Model</w:t>
      </w:r>
    </w:p>
    <w:tbl>
      <w:tblPr>
        <w:tblW w:type="dxa" w:w="9360"/>
        <w:jc w:val="left"/>
        <w:tblLayout w:type="fixed"/>
        <w:tblLook w:firstColumn="1" w:firstRow="1" w:lastColumn="0" w:lastRow="0" w:noHBand="0" w:noVBand="1" w:val="04A0"/>
        <w:tblInd w:w="120" w:type="dxa"/>
      </w:tblPr>
      <w:tblGrid>
        <w:gridCol w:w="2100"/>
        <w:gridCol w:w="3400"/>
        <w:gridCol w:w="3860"/>
      </w:tblGrid>
      <w:tr>
        <w:tc>
          <w:tcPr>
            <w:tcW w:type="dxa" w:w="2100"/>
            <w:tcMar>
              <w:top w:w="100" w:type="dxa"/>
              <w:start w:w="140" w:type="dxa"/>
              <w:bottom w:w="100" w:type="dxa"/>
              <w:end w:w="140" w:type="dxa"/>
            </w:tcMar>
            <w:vAlign w:val="center"/>
            <w:shd w:fill="F2F4F7"/>
          </w:tcPr>
          <w:p>
            <w:pPr>
              <w:spacing w:after="0"/>
            </w:pPr>
            <w:r>
              <w:rPr>
                <w:rFonts w:ascii="Calibri" w:hAnsi="Calibri"/>
                <w:b/>
                <w:color w:val="1F2A37"/>
                <w:sz w:val="19"/>
              </w:rPr>
              <w:t>Layer</w:t>
            </w:r>
          </w:p>
        </w:tc>
        <w:tc>
          <w:tcPr>
            <w:tcW w:type="dxa" w:w="3400"/>
            <w:tcMar>
              <w:top w:w="100" w:type="dxa"/>
              <w:start w:w="140" w:type="dxa"/>
              <w:bottom w:w="100" w:type="dxa"/>
              <w:end w:w="140" w:type="dxa"/>
            </w:tcMar>
            <w:vAlign w:val="center"/>
            <w:shd w:fill="F2F4F7"/>
          </w:tcPr>
          <w:p>
            <w:pPr>
              <w:spacing w:after="0"/>
            </w:pPr>
            <w:r>
              <w:rPr>
                <w:rFonts w:ascii="Calibri" w:hAnsi="Calibri"/>
                <w:b/>
                <w:color w:val="1F2A37"/>
                <w:sz w:val="19"/>
              </w:rPr>
              <w:t>Executive Question</w:t>
            </w:r>
          </w:p>
        </w:tc>
        <w:tc>
          <w:tcPr>
            <w:tcW w:type="dxa" w:w="3860"/>
            <w:tcMar>
              <w:top w:w="100" w:type="dxa"/>
              <w:start w:w="140" w:type="dxa"/>
              <w:bottom w:w="100" w:type="dxa"/>
              <w:end w:w="140" w:type="dxa"/>
            </w:tcMar>
            <w:vAlign w:val="center"/>
            <w:shd w:fill="F2F4F7"/>
          </w:tcPr>
          <w:p>
            <w:pPr>
              <w:spacing w:after="0"/>
            </w:pPr>
            <w:r>
              <w:rPr>
                <w:rFonts w:ascii="Calibri" w:hAnsi="Calibri"/>
                <w:b/>
                <w:color w:val="1F2A37"/>
                <w:sz w:val="19"/>
              </w:rPr>
              <w:t>Control Output</w:t>
            </w:r>
          </w:p>
        </w:tc>
      </w:tr>
      <w:tr>
        <w:tc>
          <w:tcPr>
            <w:tcW w:type="dxa" w:w="2100"/>
          </w:tcPr>
          <w:p>
            <w:pPr>
              <w:spacing w:after="0" w:line="252" w:lineRule="auto"/>
            </w:pPr>
            <w:r>
              <w:rPr>
                <w:rFonts w:ascii="Calibri" w:hAnsi="Calibri"/>
                <w:color w:val="1F2A37"/>
                <w:sz w:val="18"/>
              </w:rPr>
              <w:t>1. Risk classification</w:t>
            </w:r>
          </w:p>
        </w:tc>
        <w:tc>
          <w:tcPr>
            <w:tcW w:type="dxa" w:w="3400"/>
          </w:tcPr>
          <w:p>
            <w:pPr>
              <w:spacing w:after="0" w:line="252" w:lineRule="auto"/>
            </w:pPr>
            <w:r>
              <w:rPr>
                <w:rFonts w:ascii="Calibri" w:hAnsi="Calibri"/>
                <w:color w:val="1F2A37"/>
                <w:sz w:val="18"/>
              </w:rPr>
              <w:t>What happens if the AI is wrong?</w:t>
            </w:r>
          </w:p>
        </w:tc>
        <w:tc>
          <w:tcPr>
            <w:tcW w:type="dxa" w:w="3860"/>
          </w:tcPr>
          <w:p>
            <w:pPr>
              <w:spacing w:after="0" w:line="252" w:lineRule="auto"/>
            </w:pPr>
            <w:r>
              <w:rPr>
                <w:rFonts w:ascii="Calibri" w:hAnsi="Calibri"/>
                <w:color w:val="1F2A37"/>
                <w:sz w:val="18"/>
              </w:rPr>
              <w:t>Use-case tiering by customer, financial, legal, operational, reputational, and safety impact.</w:t>
            </w:r>
          </w:p>
        </w:tc>
      </w:tr>
      <w:tr>
        <w:tc>
          <w:tcPr>
            <w:tcW w:type="dxa" w:w="2100"/>
          </w:tcPr>
          <w:p>
            <w:pPr>
              <w:spacing w:after="0" w:line="252" w:lineRule="auto"/>
            </w:pPr>
            <w:r>
              <w:rPr>
                <w:rFonts w:ascii="Calibri" w:hAnsi="Calibri"/>
                <w:color w:val="1F2A37"/>
                <w:sz w:val="18"/>
              </w:rPr>
              <w:t>2. Execution boundary</w:t>
            </w:r>
          </w:p>
        </w:tc>
        <w:tc>
          <w:tcPr>
            <w:tcW w:type="dxa" w:w="3400"/>
          </w:tcPr>
          <w:p>
            <w:pPr>
              <w:spacing w:after="0" w:line="252" w:lineRule="auto"/>
            </w:pPr>
            <w:r>
              <w:rPr>
                <w:rFonts w:ascii="Calibri" w:hAnsi="Calibri"/>
                <w:color w:val="1F2A37"/>
                <w:sz w:val="18"/>
              </w:rPr>
              <w:t>What can AI decide or trigger?</w:t>
            </w:r>
          </w:p>
        </w:tc>
        <w:tc>
          <w:tcPr>
            <w:tcW w:type="dxa" w:w="3860"/>
          </w:tcPr>
          <w:p>
            <w:pPr>
              <w:spacing w:after="0" w:line="252" w:lineRule="auto"/>
            </w:pPr>
            <w:r>
              <w:rPr>
                <w:rFonts w:ascii="Calibri" w:hAnsi="Calibri"/>
                <w:color w:val="1F2A37"/>
                <w:sz w:val="18"/>
              </w:rPr>
              <w:t>Decision rights, automation limits, human approval paths, and escalation thresholds.</w:t>
            </w:r>
          </w:p>
        </w:tc>
      </w:tr>
      <w:tr>
        <w:tc>
          <w:tcPr>
            <w:tcW w:type="dxa" w:w="2100"/>
          </w:tcPr>
          <w:p>
            <w:pPr>
              <w:spacing w:after="0" w:line="252" w:lineRule="auto"/>
            </w:pPr>
            <w:r>
              <w:rPr>
                <w:rFonts w:ascii="Calibri" w:hAnsi="Calibri"/>
                <w:color w:val="1F2A37"/>
                <w:sz w:val="18"/>
              </w:rPr>
              <w:t>3. Control design</w:t>
            </w:r>
          </w:p>
        </w:tc>
        <w:tc>
          <w:tcPr>
            <w:tcW w:type="dxa" w:w="3400"/>
          </w:tcPr>
          <w:p>
            <w:pPr>
              <w:spacing w:after="0" w:line="252" w:lineRule="auto"/>
            </w:pPr>
            <w:r>
              <w:rPr>
                <w:rFonts w:ascii="Calibri" w:hAnsi="Calibri"/>
                <w:color w:val="1F2A37"/>
                <w:sz w:val="18"/>
              </w:rPr>
              <w:t>What prevents or detects misuse?</w:t>
            </w:r>
          </w:p>
        </w:tc>
        <w:tc>
          <w:tcPr>
            <w:tcW w:type="dxa" w:w="3860"/>
          </w:tcPr>
          <w:p>
            <w:pPr>
              <w:spacing w:after="0" w:line="252" w:lineRule="auto"/>
            </w:pPr>
            <w:r>
              <w:rPr>
                <w:rFonts w:ascii="Calibri" w:hAnsi="Calibri"/>
                <w:color w:val="1F2A37"/>
                <w:sz w:val="18"/>
              </w:rPr>
              <w:t>Input controls, grounding, sensitive-data handling, validation checks, output constraints, and approval gates.</w:t>
            </w:r>
          </w:p>
        </w:tc>
      </w:tr>
      <w:tr>
        <w:tc>
          <w:tcPr>
            <w:tcW w:type="dxa" w:w="2100"/>
          </w:tcPr>
          <w:p>
            <w:pPr>
              <w:spacing w:after="0" w:line="252" w:lineRule="auto"/>
            </w:pPr>
            <w:r>
              <w:rPr>
                <w:rFonts w:ascii="Calibri" w:hAnsi="Calibri"/>
                <w:color w:val="1F2A37"/>
                <w:sz w:val="18"/>
              </w:rPr>
              <w:t>4. Evidence capture</w:t>
            </w:r>
          </w:p>
        </w:tc>
        <w:tc>
          <w:tcPr>
            <w:tcW w:type="dxa" w:w="3400"/>
          </w:tcPr>
          <w:p>
            <w:pPr>
              <w:spacing w:after="0" w:line="252" w:lineRule="auto"/>
            </w:pPr>
            <w:r>
              <w:rPr>
                <w:rFonts w:ascii="Calibri" w:hAnsi="Calibri"/>
                <w:color w:val="1F2A37"/>
                <w:sz w:val="18"/>
              </w:rPr>
              <w:t>Can we prove what happened later?</w:t>
            </w:r>
          </w:p>
        </w:tc>
        <w:tc>
          <w:tcPr>
            <w:tcW w:type="dxa" w:w="3860"/>
          </w:tcPr>
          <w:p>
            <w:pPr>
              <w:spacing w:after="0" w:line="252" w:lineRule="auto"/>
            </w:pPr>
            <w:r>
              <w:rPr>
                <w:rFonts w:ascii="Calibri" w:hAnsi="Calibri"/>
                <w:color w:val="1F2A37"/>
                <w:sz w:val="18"/>
              </w:rPr>
              <w:t>Prompt, response, sources, rationale, approvals, overrides, exceptions, and audit replay records.</w:t>
            </w:r>
          </w:p>
        </w:tc>
      </w:tr>
      <w:tr>
        <w:tc>
          <w:tcPr>
            <w:tcW w:type="dxa" w:w="2100"/>
          </w:tcPr>
          <w:p>
            <w:pPr>
              <w:spacing w:after="0" w:line="252" w:lineRule="auto"/>
            </w:pPr>
            <w:r>
              <w:rPr>
                <w:rFonts w:ascii="Calibri" w:hAnsi="Calibri"/>
                <w:color w:val="1F2A37"/>
                <w:sz w:val="18"/>
              </w:rPr>
              <w:t>5. Day 2 monitoring</w:t>
            </w:r>
          </w:p>
        </w:tc>
        <w:tc>
          <w:tcPr>
            <w:tcW w:type="dxa" w:w="3400"/>
          </w:tcPr>
          <w:p>
            <w:pPr>
              <w:spacing w:after="0" w:line="252" w:lineRule="auto"/>
            </w:pPr>
            <w:r>
              <w:rPr>
                <w:rFonts w:ascii="Calibri" w:hAnsi="Calibri"/>
                <w:color w:val="1F2A37"/>
                <w:sz w:val="18"/>
              </w:rPr>
              <w:t>How do we know controls keep working?</w:t>
            </w:r>
          </w:p>
        </w:tc>
        <w:tc>
          <w:tcPr>
            <w:tcW w:type="dxa" w:w="3860"/>
          </w:tcPr>
          <w:p>
            <w:pPr>
              <w:spacing w:after="0" w:line="252" w:lineRule="auto"/>
            </w:pPr>
            <w:r>
              <w:rPr>
                <w:rFonts w:ascii="Calibri" w:hAnsi="Calibri"/>
                <w:color w:val="1F2A37"/>
                <w:sz w:val="18"/>
              </w:rPr>
              <w:t>Drift, quality, fairness, unsafe output, control bypass, vendor change, and incident monitoring.</w:t>
            </w:r>
          </w:p>
        </w:tc>
      </w:tr>
    </w:tbl>
    <w:p>
      <w:pPr>
        <w:pStyle w:val="Heading1"/>
        <w:spacing w:before="200" w:after="100"/>
      </w:pPr>
      <w:r>
        <w:t>What This Enables</w:t>
      </w:r>
    </w:p>
    <w:p>
      <w:pPr>
        <w:pStyle w:val="ListBullet"/>
        <w:spacing w:after="60" w:line="264" w:lineRule="auto"/>
      </w:pPr>
      <w:r>
        <w:rPr>
          <w:rFonts w:ascii="Calibri" w:hAnsi="Calibri"/>
          <w:color w:val="1F2A37"/>
        </w:rPr>
        <w:t>Faster AI adoption because risk and control expectations are clear before build or deployment.</w:t>
      </w:r>
    </w:p>
    <w:p>
      <w:pPr>
        <w:pStyle w:val="ListBullet"/>
        <w:spacing w:after="60" w:line="264" w:lineRule="auto"/>
      </w:pPr>
      <w:r>
        <w:rPr>
          <w:rFonts w:ascii="Calibri" w:hAnsi="Calibri"/>
          <w:color w:val="1F2A37"/>
        </w:rPr>
        <w:t>Audit-ready evidence because decisions, approvals, exceptions, and monitoring signals are captured by design.</w:t>
      </w:r>
    </w:p>
    <w:p>
      <w:pPr>
        <w:pStyle w:val="ListBullet"/>
        <w:spacing w:after="60" w:line="264" w:lineRule="auto"/>
      </w:pPr>
      <w:r>
        <w:rPr>
          <w:rFonts w:ascii="Calibri" w:hAnsi="Calibri"/>
          <w:color w:val="1F2A37"/>
        </w:rPr>
        <w:t>Better business accountability because AI ownership is mapped across product, risk, legal, technology, security, data, and operations.</w:t>
      </w:r>
    </w:p>
    <w:p>
      <w:pPr>
        <w:pStyle w:val="ListBullet"/>
        <w:spacing w:after="60" w:line="264" w:lineRule="auto"/>
      </w:pPr>
      <w:r>
        <w:rPr>
          <w:rFonts w:ascii="Calibri" w:hAnsi="Calibri"/>
          <w:color w:val="1F2A37"/>
        </w:rPr>
        <w:t>Stronger Day 2 resilience because AI systems are monitored after launch, not only approved before launch.</w:t>
      </w:r>
    </w:p>
    <w:p>
      <w:pPr>
        <w:pStyle w:val="Heading1"/>
        <w:spacing w:before="200" w:after="100"/>
      </w:pPr>
      <w:r>
        <w:t>Consulting Offer</w:t>
      </w:r>
    </w:p>
    <w:tbl>
      <w:tblPr>
        <w:tblW w:type="dxa" w:w="9360"/>
        <w:jc w:val="left"/>
        <w:tblLayout w:type="fixed"/>
        <w:tblLook w:firstColumn="1" w:firstRow="1" w:lastColumn="0" w:lastRow="0" w:noHBand="0" w:noVBand="1" w:val="04A0"/>
        <w:tblInd w:w="120" w:type="dxa"/>
      </w:tblPr>
      <w:tblGrid>
        <w:gridCol w:w="2100"/>
        <w:gridCol w:w="3500"/>
        <w:gridCol w:w="3760"/>
      </w:tblGrid>
      <w:tr>
        <w:tc>
          <w:tcPr>
            <w:tcW w:type="dxa" w:w="2100"/>
            <w:tcMar>
              <w:top w:w="100" w:type="dxa"/>
              <w:start w:w="140" w:type="dxa"/>
              <w:bottom w:w="100" w:type="dxa"/>
              <w:end w:w="140" w:type="dxa"/>
            </w:tcMar>
            <w:vAlign w:val="center"/>
            <w:shd w:fill="F2F4F7"/>
          </w:tcPr>
          <w:p>
            <w:pPr>
              <w:spacing w:after="0"/>
            </w:pPr>
            <w:r>
              <w:rPr>
                <w:rFonts w:ascii="Calibri" w:hAnsi="Calibri"/>
                <w:b/>
                <w:color w:val="1F2A37"/>
                <w:sz w:val="19"/>
              </w:rPr>
              <w:t>Phase</w:t>
            </w:r>
          </w:p>
        </w:tc>
        <w:tc>
          <w:tcPr>
            <w:tcW w:type="dxa" w:w="3500"/>
            <w:tcMar>
              <w:top w:w="100" w:type="dxa"/>
              <w:start w:w="140" w:type="dxa"/>
              <w:bottom w:w="100" w:type="dxa"/>
              <w:end w:w="140" w:type="dxa"/>
            </w:tcMar>
            <w:vAlign w:val="center"/>
            <w:shd w:fill="F2F4F7"/>
          </w:tcPr>
          <w:p>
            <w:pPr>
              <w:spacing w:after="0"/>
            </w:pPr>
            <w:r>
              <w:rPr>
                <w:rFonts w:ascii="Calibri" w:hAnsi="Calibri"/>
                <w:b/>
                <w:color w:val="1F2A37"/>
                <w:sz w:val="19"/>
              </w:rPr>
              <w:t>Focus</w:t>
            </w:r>
          </w:p>
        </w:tc>
        <w:tc>
          <w:tcPr>
            <w:tcW w:type="dxa" w:w="3760"/>
            <w:tcMar>
              <w:top w:w="100" w:type="dxa"/>
              <w:start w:w="140" w:type="dxa"/>
              <w:bottom w:w="100" w:type="dxa"/>
              <w:end w:w="140" w:type="dxa"/>
            </w:tcMar>
            <w:vAlign w:val="center"/>
            <w:shd w:fill="F2F4F7"/>
          </w:tcPr>
          <w:p>
            <w:pPr>
              <w:spacing w:after="0"/>
            </w:pPr>
            <w:r>
              <w:rPr>
                <w:rFonts w:ascii="Calibri" w:hAnsi="Calibri"/>
                <w:b/>
                <w:color w:val="1F2A37"/>
                <w:sz w:val="19"/>
              </w:rPr>
              <w:t>Typical Output</w:t>
            </w:r>
          </w:p>
        </w:tc>
      </w:tr>
      <w:tr>
        <w:tc>
          <w:tcPr>
            <w:tcW w:type="dxa" w:w="2100"/>
          </w:tcPr>
          <w:p>
            <w:pPr>
              <w:spacing w:after="0" w:line="252" w:lineRule="auto"/>
            </w:pPr>
            <w:r>
              <w:rPr>
                <w:rFonts w:ascii="Calibri" w:hAnsi="Calibri"/>
                <w:color w:val="1F2A37"/>
                <w:sz w:val="18"/>
              </w:rPr>
              <w:t>Current-state scan</w:t>
            </w:r>
          </w:p>
        </w:tc>
        <w:tc>
          <w:tcPr>
            <w:tcW w:type="dxa" w:w="3500"/>
          </w:tcPr>
          <w:p>
            <w:pPr>
              <w:spacing w:after="0" w:line="252" w:lineRule="auto"/>
            </w:pPr>
            <w:r>
              <w:rPr>
                <w:rFonts w:ascii="Calibri" w:hAnsi="Calibri"/>
                <w:color w:val="1F2A37"/>
                <w:sz w:val="18"/>
              </w:rPr>
              <w:t>Use cases, approval flow, existing evidence, risk pain points.</w:t>
            </w:r>
          </w:p>
        </w:tc>
        <w:tc>
          <w:tcPr>
            <w:tcW w:type="dxa" w:w="3760"/>
          </w:tcPr>
          <w:p>
            <w:pPr>
              <w:spacing w:after="0" w:line="252" w:lineRule="auto"/>
            </w:pPr>
            <w:r>
              <w:rPr>
                <w:rFonts w:ascii="Calibri" w:hAnsi="Calibri"/>
                <w:color w:val="1F2A37"/>
                <w:sz w:val="18"/>
              </w:rPr>
              <w:t>AI controls heatmap and prioritized scope.</w:t>
            </w:r>
          </w:p>
        </w:tc>
      </w:tr>
      <w:tr>
        <w:tc>
          <w:tcPr>
            <w:tcW w:type="dxa" w:w="2100"/>
          </w:tcPr>
          <w:p>
            <w:pPr>
              <w:spacing w:after="0" w:line="252" w:lineRule="auto"/>
            </w:pPr>
            <w:r>
              <w:rPr>
                <w:rFonts w:ascii="Calibri" w:hAnsi="Calibri"/>
                <w:color w:val="1F2A37"/>
                <w:sz w:val="18"/>
              </w:rPr>
              <w:t>Control architecture</w:t>
            </w:r>
          </w:p>
        </w:tc>
        <w:tc>
          <w:tcPr>
            <w:tcW w:type="dxa" w:w="3500"/>
          </w:tcPr>
          <w:p>
            <w:pPr>
              <w:spacing w:after="0" w:line="252" w:lineRule="auto"/>
            </w:pPr>
            <w:r>
              <w:rPr>
                <w:rFonts w:ascii="Calibri" w:hAnsi="Calibri"/>
                <w:color w:val="1F2A37"/>
                <w:sz w:val="18"/>
              </w:rPr>
              <w:t>Tiered controls, human boundaries, evidence templates, monitoring model.</w:t>
            </w:r>
          </w:p>
        </w:tc>
        <w:tc>
          <w:tcPr>
            <w:tcW w:type="dxa" w:w="3760"/>
          </w:tcPr>
          <w:p>
            <w:pPr>
              <w:spacing w:after="0" w:line="252" w:lineRule="auto"/>
            </w:pPr>
            <w:r>
              <w:rPr>
                <w:rFonts w:ascii="Calibri" w:hAnsi="Calibri"/>
                <w:color w:val="1F2A37"/>
                <w:sz w:val="18"/>
              </w:rPr>
              <w:t>Responsible AI control framework by use-case risk tier.</w:t>
            </w:r>
          </w:p>
        </w:tc>
      </w:tr>
      <w:tr>
        <w:tc>
          <w:tcPr>
            <w:tcW w:type="dxa" w:w="2100"/>
          </w:tcPr>
          <w:p>
            <w:pPr>
              <w:spacing w:after="0" w:line="252" w:lineRule="auto"/>
            </w:pPr>
            <w:r>
              <w:rPr>
                <w:rFonts w:ascii="Calibri" w:hAnsi="Calibri"/>
                <w:color w:val="1F2A37"/>
                <w:sz w:val="18"/>
              </w:rPr>
              <w:t>Operating model</w:t>
            </w:r>
          </w:p>
        </w:tc>
        <w:tc>
          <w:tcPr>
            <w:tcW w:type="dxa" w:w="3500"/>
          </w:tcPr>
          <w:p>
            <w:pPr>
              <w:spacing w:after="0" w:line="252" w:lineRule="auto"/>
            </w:pPr>
            <w:r>
              <w:rPr>
                <w:rFonts w:ascii="Calibri" w:hAnsi="Calibri"/>
                <w:color w:val="1F2A37"/>
                <w:sz w:val="18"/>
              </w:rPr>
              <w:t>Owners, routines, exception handling, review forums, Day 2 workflow.</w:t>
            </w:r>
          </w:p>
        </w:tc>
        <w:tc>
          <w:tcPr>
            <w:tcW w:type="dxa" w:w="3760"/>
          </w:tcPr>
          <w:p>
            <w:pPr>
              <w:spacing w:after="0" w:line="252" w:lineRule="auto"/>
            </w:pPr>
            <w:r>
              <w:rPr>
                <w:rFonts w:ascii="Calibri" w:hAnsi="Calibri"/>
                <w:color w:val="1F2A37"/>
                <w:sz w:val="18"/>
              </w:rPr>
              <w:t>Repeatable governance and operations playbook.</w:t>
            </w:r>
          </w:p>
        </w:tc>
      </w:tr>
    </w:tbl>
    <w:sectPr w:rsidR="00FC693F" w:rsidRPr="0006063C" w:rsidSect="00034616">
      <w:headerReference w:type="default" r:id="rId9"/>
      <w:footerReference w:type="default" r:id="rId10"/>
      <w:pgSz w:w="12240" w:h="15840"/>
      <w:pgMar w:top="1224" w:right="1152" w:bottom="1152" w:left="1152"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E"/>
        <w:sz w:val="17"/>
      </w:rPr>
      <w:t>From Principles to Day 2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26E"/>
        <w:sz w:val="17"/>
      </w:rPr>
      <w:t>Responsible AI Controls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