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dace33b4-272f-42ee-b874-86137eb1b9b3_table_page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2025-08-12 15:05:13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2130</w:t>
      </w:r>
    </w:p>
    <w:p>
      <w:pPr>
        <w:jc w:val="both"/>
      </w:pPr>
      <w:r>
        <w:t># LAND REGISTRY PRESCRIBED CLAUSES</w:t>
      </w:r>
    </w:p>
    <w:p>
      <w:pPr>
        <w:jc w:val="both"/>
      </w:pPr>
      <w:r>
        <w:t>| LR1. Date of lease | 11 December 2020 | |-------------------|------------------| | LR2. Title number(s) | LR2.1 Landlord's title number(s) | |-------------------|------------------| | AGL308803 | | LR2.2 Other title numbers | |-------------------|------------------| | LR3. Parties to this lease | Landlord | |-------------------|------------------| | St William Homes LLP (company no. OC396332) whose registered office is at Berkeley House, 19 Portsmouth Road, Cobham, Surrey KT11 1JG | | Tenant | |-------------------|------------------| | London Power Networks plc (company no. 3929195) whose registered office is at Newington House, 237 Southwark Bridge Road, London SE1 6NP | | LR4. Property | In the case of a conflict between this clause and the remainder of this lease, then, for the purposes of registration, this clause shall prevail. | |-------------------|------------------| | As defined in the particulars of this lease and defined in this lease as "the Demised Premises". | | LR5. Prescribed statements etc | LR5.1 Statements prescribed under rules 179 (dispositions in favour of a charity), 180 (dispositions by a charity), or 198 (leases under the Leasehold Reform, Housing and Urban Development Act 1985) of the Land Registration Rules 2003 | |-------------------|------------------| | None | | LR5.2 This lease is made under, or by reference to, provisions of: | |-------------------|------------------| | None | | LR6. Term for which the Property is leased | The Term as specified in this lease at clause 2 | |-------------------|------------------| | LR7. Premium | One Pound (£1.00) | |-------------------|------------------| | LR8. Prohibitions or restrictions on disposing of this lease | This lease contains a provision that prohibits or restricts dispositions. | |-------------------|------------------| | LR9. Rights of acquisition etc | LR9.1 Tenant's contractual rights to renew this lease, to acquire the reversion or another lease of the Property, or to acquire an interest in other land | |-------------------|------------------| | None |</w:t>
      </w:r>
    </w:p>
    <w:p>
      <w:pPr>
        <w:jc w:val="both"/>
      </w:pPr>
      <w:r>
        <w:t>24-Jul-20 76526816.4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