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2A4A"/>
          <w:sz w:val="56"/>
          <w:szCs w:val="56"/>
        </w:rPr>
        <w:t xml:space="preserve">TaskPulse AI</w:t>
      </w:r>
    </w:p>
    <w:p>
      <w:pPr>
        <w:spacing w:after="200"/>
        <w:jc w:val="center"/>
      </w:pPr>
      <w:r>
        <w:rPr>
          <w:rFonts w:ascii="Arial" w:cs="Arial" w:eastAsia="Arial" w:hAnsi="Arial"/>
          <w:color w:val="2E5090"/>
          <w:sz w:val="32"/>
          <w:szCs w:val="32"/>
        </w:rPr>
        <w:t xml:space="preserve">Comprehensive Application Analysis Report</w:t>
      </w:r>
    </w:p>
    <w:p>
      <w:pPr>
        <w:spacing w:after="600"/>
        <w:jc w:val="center"/>
      </w:pPr>
      <w:r>
        <w:rPr>
          <w:rFonts w:ascii="Arial" w:cs="Arial" w:eastAsia="Arial" w:hAnsi="Arial"/>
          <w:i/>
          <w:iCs/>
          <w:color w:val="666666"/>
          <w:sz w:val="22"/>
          <w:szCs w:val="22"/>
        </w:rPr>
        <w:t xml:space="preserve">Enterprise Security, Architecture &amp; AI Integration Review</w:t>
      </w:r>
    </w:p>
    <w:p>
      <w:pPr>
        <w:jc w:val="center"/>
      </w:pPr>
      <w:r>
        <w:rPr>
          <w:rFonts w:ascii="Arial" w:cs="Arial" w:eastAsia="Arial" w:hAnsi="Arial"/>
          <w:color w:val="888888"/>
          <w:sz w:val="20"/>
          <w:szCs w:val="20"/>
        </w:rPr>
        <w:t xml:space="preserve">Prepared: February 17, 2026</w:t>
      </w:r>
    </w:p>
    <w:p>
      <w:pPr>
        <w:spacing w:after="200"/>
        <w:jc w:val="center"/>
      </w:pPr>
      <w:r>
        <w:rPr>
          <w:rFonts w:ascii="Arial" w:cs="Arial" w:eastAsia="Arial" w:hAnsi="Arial"/>
          <w:b/>
          <w:bCs/>
          <w:color w:val="CC0000"/>
          <w:sz w:val="20"/>
          <w:szCs w:val="20"/>
        </w:rPr>
        <w:t xml:space="preserve">Classification: Confidential</w:t>
      </w:r>
    </w:p>
    <w:p>
      <w:r>
        <w:br w:type="page"/>
      </w:r>
    </w:p>
    <w:p>
      <w:pPr>
        <w:pStyle w:val="Heading1"/>
      </w:pPr>
      <w:r>
        <w:t xml:space="preserve">1. Executive Summary</w:t>
      </w:r>
    </w:p>
    <w:p>
      <w:pPr>
        <w:spacing w:after="200"/>
      </w:pPr>
      <w:r>
        <w:t xml:space="preserve">TaskPulse is a full-stack AI-powered task management platform built with a </w:t>
      </w:r>
      <w:r>
        <w:rPr>
          <w:b/>
          <w:bCs/>
        </w:rPr>
        <w:t xml:space="preserve">FastAPI + SQLite</w:t>
      </w:r>
      <w:r>
        <w:t xml:space="preserve"> backend, </w:t>
      </w:r>
      <w:r>
        <w:rPr>
          <w:b/>
          <w:bCs/>
        </w:rPr>
        <w:t xml:space="preserve">React + TypeScript</w:t>
      </w:r>
      <w:r>
        <w:t xml:space="preserve"> frontend, and a </w:t>
      </w:r>
      <w:r>
        <w:rPr>
          <w:b/>
          <w:bCs/>
        </w:rPr>
        <w:t xml:space="preserve">multi-agent AI orchestration system</w:t>
      </w:r>
      <w:r>
        <w:t xml:space="preserve"> supporting Mistral, Kimi, Ollama, and mock providers. The application is containerized via Docker Compose with Nginx reverse proxy.</w:t>
      </w:r>
    </w:p>
    <w:p>
      <w:pPr>
        <w:spacing w:after="200"/>
      </w:pPr>
      <w:r>
        <w:t xml:space="preserve">The codebase demonstrates solid architectural patterns including event-driven agent orchestration, RBAC, JWT auth with refresh token rotation, CSRF protection, and prompt injection defense. However, several </w:t>
      </w:r>
      <w:r>
        <w:rPr>
          <w:b/>
          <w:bCs/>
          <w:color w:val="CC0000"/>
        </w:rPr>
        <w:t xml:space="preserve">critical and high-severity issues</w:t>
      </w:r>
      <w:r>
        <w:t xml:space="preserve"> were identified that must be addressed before production deployment.</w:t>
      </w:r>
    </w:p>
    <w:p>
      <w:pPr>
        <w:pStyle w:val="Heading2"/>
      </w:pPr>
      <w:r>
        <w:t xml:space="preserve">Overall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CRITICAL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120"/>
            <w:tcBorders>
              <w:top w:val="single" w:color="CCCCCC" w:sz="1"/>
              <w:left w:val="single" w:color="CCCCCC" w:sz="1"/>
              <w:bottom w:val="single" w:color="CCCCCC" w:sz="1"/>
              <w:right w:val="single" w:color="CCCCCC" w:sz="1"/>
            </w:tcBorders>
            <w:shd w:fill="FFEEEE" w:val="clear"/>
            <w:tcMar>
              <w:top w:type="dxa" w:w="80"/>
              <w:left w:type="dxa" w:w="120"/>
              <w:bottom w:type="dxa" w:w="80"/>
              <w:right w:type="dxa" w:w="120"/>
            </w:tcMar>
          </w:tcPr>
          <w:p>
            <w:r>
              <w:rPr>
                <w:rFonts w:ascii="Arial" w:cs="Arial" w:eastAsia="Arial" w:hAnsi="Arial"/>
                <w:sz w:val="20"/>
                <w:szCs w:val="20"/>
              </w:rPr>
              <w:t xml:space="preserve">Immediate action required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00"/>
                <w:sz w:val="20"/>
                <w:szCs w:val="20"/>
              </w:rPr>
              <w:t xml:space="preserve">HIGH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120"/>
            <w:tcBorders>
              <w:top w:val="single" w:color="CCCCCC" w:sz="1"/>
              <w:left w:val="single" w:color="CCCCCC" w:sz="1"/>
              <w:bottom w:val="single" w:color="CCCCCC" w:sz="1"/>
              <w:right w:val="single" w:color="CCCCCC" w:sz="1"/>
            </w:tcBorders>
            <w:shd w:fill="FFF5E6" w:val="clear"/>
            <w:tcMar>
              <w:top w:type="dxa" w:w="80"/>
              <w:left w:type="dxa" w:w="120"/>
              <w:bottom w:type="dxa" w:w="80"/>
              <w:right w:type="dxa" w:w="120"/>
            </w:tcMar>
          </w:tcPr>
          <w:p>
            <w:r>
              <w:rPr>
                <w:rFonts w:ascii="Arial" w:cs="Arial" w:eastAsia="Arial" w:hAnsi="Arial"/>
                <w:sz w:val="20"/>
                <w:szCs w:val="20"/>
              </w:rPr>
              <w:t xml:space="preserve">Address before production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66CC"/>
                <w:sz w:val="20"/>
                <w:szCs w:val="20"/>
              </w:rPr>
              <w:t xml:space="preserve">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3120"/>
            <w:tcBorders>
              <w:top w:val="single" w:color="CCCCCC" w:sz="1"/>
              <w:left w:val="single" w:color="CCCCCC" w:sz="1"/>
              <w:bottom w:val="single" w:color="CCCCCC" w:sz="1"/>
              <w:right w:val="single" w:color="CCCCCC" w:sz="1"/>
            </w:tcBorders>
            <w:shd w:fill="E6F0FF" w:val="clear"/>
            <w:tcMar>
              <w:top w:type="dxa" w:w="80"/>
              <w:left w:type="dxa" w:w="120"/>
              <w:bottom w:type="dxa" w:w="80"/>
              <w:right w:type="dxa" w:w="120"/>
            </w:tcMar>
          </w:tcPr>
          <w:p>
            <w:r>
              <w:rPr>
                <w:rFonts w:ascii="Arial" w:cs="Arial" w:eastAsia="Arial" w:hAnsi="Arial"/>
                <w:sz w:val="20"/>
                <w:szCs w:val="20"/>
              </w:rPr>
              <w:t xml:space="preserve">Plan for next sprint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20"/>
                <w:szCs w:val="20"/>
              </w:rPr>
              <w:t xml:space="preserve">LOW / INFO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120"/>
            <w:tcBorders>
              <w:top w:val="single" w:color="CCCCCC" w:sz="1"/>
              <w:left w:val="single" w:color="CCCCCC" w:sz="1"/>
              <w:bottom w:val="single" w:color="CCCCCC" w:sz="1"/>
              <w:right w:val="single" w:color="CCCCCC" w:sz="1"/>
            </w:tcBorders>
            <w:shd w:fill="E6FFE6" w:val="clear"/>
            <w:tcMar>
              <w:top w:type="dxa" w:w="80"/>
              <w:left w:type="dxa" w:w="120"/>
              <w:bottom w:type="dxa" w:w="80"/>
              <w:right w:type="dxa" w:w="120"/>
            </w:tcMar>
          </w:tcPr>
          <w:p>
            <w:r>
              <w:rPr>
                <w:rFonts w:ascii="Arial" w:cs="Arial" w:eastAsia="Arial" w:hAnsi="Arial"/>
                <w:sz w:val="20"/>
                <w:szCs w:val="20"/>
              </w:rPr>
              <w:t xml:space="preserve">Improvement opportunities</w:t>
            </w:r>
          </w:p>
        </w:tc>
      </w:tr>
    </w:tbl>
    <w:p>
      <w:r>
        <w:br w:type="page"/>
      </w:r>
    </w:p>
    <w:p>
      <w:pPr>
        <w:pStyle w:val="Heading1"/>
      </w:pPr>
      <w:r>
        <w:t xml:space="preserve">2. Architecture Overview</w:t>
      </w:r>
    </w:p>
    <w:p>
      <w:pPr>
        <w:pStyle w:val="Heading2"/>
      </w:pPr>
      <w: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Backend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FastAPI (Python 3.11+)</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Async, SQLAlchemy ORM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Frontend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18 + TypeScript + Vite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Zustand state, TailwindCSS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Database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SQLite (aiosqlite)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WAL mode, FK enabled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AI Providers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Mistral, Kimi, Ollama, Mock</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Pluggable provider pattern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Auth</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 + bcrypt + Google OAuth</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Refresh rotation, sessions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Deployment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Compose + Nginx</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Multi-stage builds</w:t>
            </w:r>
          </w:p>
        </w:tc>
      </w:tr>
    </w:tbl>
    <w:p>
      <w:pPr>
        <w:pStyle w:val="Heading2"/>
      </w:pPr>
      <w:r>
        <w:t xml:space="preserve">2.2 Module Structure (15 Phases)</w:t>
      </w:r>
    </w:p>
    <w:p>
      <w:pPr>
        <w:spacing w:after="200"/>
      </w:pPr>
      <w:r>
        <w:t xml:space="preserve">The backend spans 15 development phases covering Auth/Users, Tasks, Check-ins, Knowledge Base, Skills, Predictions, Automation, Workforce Analytics, Notifications/Integrations, Admin/Audit, and Agent Orchestration. The frontend mirrors this with 16+ pages (Dashboard, Tasks, AI Command Center, Automation, Analytics, Team, Skills, Predictions, Workforce, Knowledge Base, Integrations, Admin, Settings, Check-ins, Organization).</w:t>
      </w:r>
    </w:p>
    <w:p>
      <w:pPr>
        <w:pStyle w:val="Heading2"/>
      </w:pPr>
      <w:r>
        <w:t xml:space="preserve">2.3 AI Agent System</w:t>
      </w:r>
    </w:p>
    <w:p>
      <w:pPr>
        <w:spacing w:after="200"/>
      </w:pPr>
      <w:r>
        <w:t xml:space="preserve">The multi-agent orchestrator coordinates six specialized agents: ChatAgent, UnblockAgent, DecomposerAgent, PredictorAgent, SkillMatcherAgent, and CoachAgent. The system supports event-driven routing, pipeline execution, parallel execution, and agent chaining with a configurable max chain depth of 5 to prevent infinite loops.</w:t>
      </w:r>
    </w:p>
    <w:p>
      <w:r>
        <w:br w:type="page"/>
      </w:r>
    </w:p>
    <w:p>
      <w:pPr>
        <w:pStyle w:val="Heading1"/>
      </w:pPr>
      <w:r>
        <w:t xml:space="preserve">3. Critical Security Findings</w:t>
      </w:r>
    </w:p>
    <w:p>
      <w:pPr>
        <w:pStyle w:val="Heading2"/>
      </w:pPr>
      <w:r>
        <w:rPr>
          <w:color w:val="CC0000"/>
        </w:rPr>
        <w:t xml:space="preserve">[CRITICAL] SEC-001: Hardcoded API Keys in .env File</w:t>
      </w:r>
    </w:p>
    <w:p>
      <w:pPr>
        <w:spacing w:after="100"/>
      </w:pPr>
      <w:r>
        <w:rPr>
          <w:b/>
          <w:bCs/>
        </w:rPr>
        <w:t xml:space="preserve">Location: </w:t>
      </w:r>
      <w:r>
        <w:t xml:space="preserve">backend/.env</w:t>
      </w:r>
    </w:p>
    <w:p>
      <w:pPr>
        <w:spacing w:after="100"/>
      </w:pPr>
      <w:r>
        <w:t xml:space="preserve">The .env file contains real API keys for Mistral AI, Kimi/Moonshot AI, and Google OAuth client credentials. While .env is correctly listed in .gitignore and not tracked by git, the file exists on disk with production-grade secrets. If this repository is ever shared, forked, or backed up without care, these keys are exposed.</w:t>
      </w:r>
    </w:p>
    <w:p>
      <w:pPr>
        <w:spacing w:after="100"/>
      </w:pPr>
      <w:r>
        <w:rPr>
          <w:b/>
          <w:bCs/>
        </w:rPr>
        <w:t xml:space="preserve">Remediation:</w:t>
      </w:r>
    </w:p>
    <w:p>
      <w:pPr>
        <w:pStyle w:val="ListParagraph"/>
        <w:numPr>
          <w:ilvl w:val="0"/>
          <w:numId w:val="2"/>
        </w:numPr>
      </w:pPr>
      <w:r>
        <w:t xml:space="preserve">Rotate all exposed API keys immediately (Mistral, Kimi, Google OAuth)</w:t>
      </w:r>
    </w:p>
    <w:p>
      <w:pPr>
        <w:pStyle w:val="ListParagraph"/>
        <w:numPr>
          <w:ilvl w:val="0"/>
          <w:numId w:val="2"/>
        </w:numPr>
      </w:pPr>
      <w:r>
        <w:t xml:space="preserve">Use a secrets manager (AWS Secrets Manager, HashiCorp Vault, or doppler) for production</w:t>
      </w:r>
    </w:p>
    <w:p>
      <w:pPr>
        <w:pStyle w:val="ListParagraph"/>
        <w:numPr>
          <w:ilvl w:val="0"/>
          <w:numId w:val="2"/>
        </w:numPr>
        <w:spacing w:after="200"/>
      </w:pPr>
      <w:r>
        <w:t xml:space="preserve">Provide only a .env.example with placeholder values in the repository</w:t>
      </w:r>
    </w:p>
    <w:p>
      <w:pPr>
        <w:pStyle w:val="Heading2"/>
      </w:pPr>
      <w:r>
        <w:rPr>
          <w:color w:val="CC0000"/>
        </w:rPr>
        <w:t xml:space="preserve">[CRITICAL] SEC-002: SQLite in Production</w:t>
      </w:r>
    </w:p>
    <w:p>
      <w:pPr>
        <w:spacing w:after="100"/>
      </w:pPr>
      <w:r>
        <w:t xml:space="preserve">SQLite is a single-file, single-writer database not designed for concurrent multi-user production workloads. Under load, write contention will cause database locks and data corruption risks. The WAL mode helps but does not eliminate the fundamental limitation.</w:t>
      </w:r>
    </w:p>
    <w:p>
      <w:pPr>
        <w:spacing w:after="100"/>
      </w:pPr>
      <w:r>
        <w:rPr>
          <w:b/>
          <w:bCs/>
        </w:rPr>
        <w:t xml:space="preserve">Remediation:</w:t>
      </w:r>
    </w:p>
    <w:p>
      <w:pPr>
        <w:pStyle w:val="ListParagraph"/>
        <w:numPr>
          <w:ilvl w:val="0"/>
          <w:numId w:val="3"/>
        </w:numPr>
      </w:pPr>
      <w:r>
        <w:t xml:space="preserve">Migrate to PostgreSQL with asyncpg for production deployments</w:t>
      </w:r>
    </w:p>
    <w:p>
      <w:pPr>
        <w:pStyle w:val="ListParagraph"/>
        <w:numPr>
          <w:ilvl w:val="0"/>
          <w:numId w:val="3"/>
        </w:numPr>
      </w:pPr>
      <w:r>
        <w:t xml:space="preserve">Implement Alembic migrations (the alembic/ directory exists but needs completion)</w:t>
      </w:r>
    </w:p>
    <w:p>
      <w:pPr>
        <w:pStyle w:val="ListParagraph"/>
        <w:numPr>
          <w:ilvl w:val="0"/>
          <w:numId w:val="3"/>
        </w:numPr>
        <w:spacing w:after="200"/>
      </w:pPr>
      <w:r>
        <w:t xml:space="preserve">Add connection pooling configuration</w:t>
      </w:r>
    </w:p>
    <w:p>
      <w:pPr>
        <w:pStyle w:val="Heading2"/>
      </w:pPr>
      <w:r>
        <w:rPr>
          <w:color w:val="CC0000"/>
        </w:rPr>
        <w:t xml:space="preserve">[CRITICAL] SEC-003: No AI Output Validation (Hallucination Risk)</w:t>
      </w:r>
    </w:p>
    <w:p>
      <w:pPr>
        <w:spacing w:after="100"/>
      </w:pPr>
      <w:r>
        <w:t xml:space="preserve">When the AI provider returns JSON (task decomposition, unblock suggestions, skill inference), the only validation is a try/except around json.loads(). If parsing fails, the system silently falls back to mock data. There is no schema validation, no output sanitization, and no hallucination detection. A malformed or hallucinated AI response could inject arbitrary data into the task system.</w:t>
      </w:r>
    </w:p>
    <w:p>
      <w:pPr>
        <w:spacing w:after="100"/>
      </w:pPr>
      <w:r>
        <w:rPr>
          <w:b/>
          <w:bCs/>
        </w:rPr>
        <w:t xml:space="preserve">Remediation:</w:t>
      </w:r>
    </w:p>
    <w:p>
      <w:pPr>
        <w:pStyle w:val="ListParagraph"/>
        <w:numPr>
          <w:ilvl w:val="0"/>
          <w:numId w:val="4"/>
        </w:numPr>
      </w:pPr>
      <w:r>
        <w:t xml:space="preserve">Add Pydantic schema validation for all AI-generated JSON responses</w:t>
      </w:r>
    </w:p>
    <w:p>
      <w:pPr>
        <w:pStyle w:val="ListParagraph"/>
        <w:numPr>
          <w:ilvl w:val="0"/>
          <w:numId w:val="4"/>
        </w:numPr>
      </w:pPr>
      <w:r>
        <w:t xml:space="preserve">Implement confidence thresholds; reject outputs below threshold with a clear error to the user</w:t>
      </w:r>
    </w:p>
    <w:p>
      <w:pPr>
        <w:pStyle w:val="ListParagraph"/>
        <w:numPr>
          <w:ilvl w:val="0"/>
          <w:numId w:val="4"/>
        </w:numPr>
      </w:pPr>
      <w:r>
        <w:t xml:space="preserve">Add output sanitization to prevent XSS from AI-generated content rendered in the frontend</w:t>
      </w:r>
    </w:p>
    <w:p>
      <w:pPr>
        <w:pStyle w:val="ListParagraph"/>
        <w:numPr>
          <w:ilvl w:val="0"/>
          <w:numId w:val="4"/>
        </w:numPr>
        <w:spacing w:after="200"/>
      </w:pPr>
      <w:r>
        <w:t xml:space="preserve">Log all AI outputs for audit trail and post-hoc hallucination detection</w:t>
      </w:r>
    </w:p>
    <w:p>
      <w:r>
        <w:br w:type="page"/>
      </w:r>
    </w:p>
    <w:p>
      <w:pPr>
        <w:pStyle w:val="Heading1"/>
      </w:pPr>
      <w:r>
        <w:t xml:space="preserve">4. High-Severity Findings</w:t>
      </w:r>
    </w:p>
    <w:p>
      <w:pPr>
        <w:pStyle w:val="Heading2"/>
      </w:pPr>
      <w:r>
        <w:rPr>
          <w:color w:val="E67E00"/>
        </w:rPr>
        <w:t xml:space="preserve">[HIGH] SEC-004: JWT Tokens Stored in localStorage</w:t>
      </w:r>
    </w:p>
    <w:p>
      <w:pPr>
        <w:spacing w:after="100"/>
      </w:pPr>
      <w:r>
        <w:t xml:space="preserve">Access and refresh tokens are stored in localStorage (via Zustand persist middleware). localStorage is accessible to any JavaScript running on the page, making it vulnerable to XSS attacks. The codebase acknowledges this as a known trade-off (SEC-005 comment in api-client.ts) with a migration plan to httpOnly cookies documented as a future enhancement.</w:t>
      </w:r>
    </w:p>
    <w:p>
      <w:pPr>
        <w:spacing w:after="100"/>
      </w:pPr>
      <w:r>
        <w:rPr>
          <w:b/>
          <w:bCs/>
        </w:rPr>
        <w:t xml:space="preserve">Remediation:</w:t>
      </w:r>
    </w:p>
    <w:p>
      <w:pPr>
        <w:pStyle w:val="ListParagraph"/>
        <w:numPr>
          <w:ilvl w:val="0"/>
          <w:numId w:val="5"/>
        </w:numPr>
      </w:pPr>
      <w:r>
        <w:t xml:space="preserve">Migrate to httpOnly, Secure, SameSite=Strict cookies for token storage</w:t>
      </w:r>
    </w:p>
    <w:p>
      <w:pPr>
        <w:pStyle w:val="ListParagraph"/>
        <w:numPr>
          <w:ilvl w:val="0"/>
          <w:numId w:val="5"/>
        </w:numPr>
        <w:spacing w:after="200"/>
      </w:pPr>
      <w:r>
        <w:t xml:space="preserve">Until migration, implement Content Security Policy (CSP) headers to minimize XSS risk</w:t>
      </w:r>
    </w:p>
    <w:p>
      <w:pPr>
        <w:pStyle w:val="Heading2"/>
      </w:pPr>
      <w:r>
        <w:rPr>
          <w:color w:val="E67E00"/>
        </w:rPr>
        <w:t xml:space="preserve">[HIGH] SEC-005: Frontend-Only Authorization Checks</w:t>
      </w:r>
    </w:p>
    <w:p>
      <w:pPr>
        <w:spacing w:after="100"/>
      </w:pPr>
      <w:r>
        <w:t xml:space="preserve">The usePermissions.ts hook performs role-based checks entirely on the client side using the user role stored in Zustand. The ProtectedRoute component only checks isAuthenticated, not role-based access. There is no evidence of server-side RBAC enforcement on API endpoints beyond get_current_active_user. An attacker could modify localStorage to escalate their role from "member" to "admin" and access all admin pages.</w:t>
      </w:r>
    </w:p>
    <w:p>
      <w:pPr>
        <w:spacing w:after="100"/>
      </w:pPr>
      <w:r>
        <w:rPr>
          <w:b/>
          <w:bCs/>
        </w:rPr>
        <w:t xml:space="preserve">Remediation:</w:t>
      </w:r>
    </w:p>
    <w:p>
      <w:pPr>
        <w:pStyle w:val="ListParagraph"/>
        <w:numPr>
          <w:ilvl w:val="0"/>
          <w:numId w:val="6"/>
        </w:numPr>
      </w:pPr>
      <w:r>
        <w:t xml:space="preserve">Implement server-side role checks using FastAPI dependencies on every protected endpoint</w:t>
      </w:r>
    </w:p>
    <w:p>
      <w:pPr>
        <w:pStyle w:val="ListParagraph"/>
        <w:numPr>
          <w:ilvl w:val="0"/>
          <w:numId w:val="6"/>
        </w:numPr>
      </w:pPr>
      <w:r>
        <w:t xml:space="preserve">Create a require_role("admin") dependency that validates the JWT claims server-side</w:t>
      </w:r>
    </w:p>
    <w:p>
      <w:pPr>
        <w:pStyle w:val="ListParagraph"/>
        <w:numPr>
          <w:ilvl w:val="0"/>
          <w:numId w:val="6"/>
        </w:numPr>
        <w:spacing w:after="200"/>
      </w:pPr>
      <w:r>
        <w:t xml:space="preserve">Never trust frontend role checks as the sole authorization mechanism</w:t>
      </w:r>
    </w:p>
    <w:p>
      <w:pPr>
        <w:pStyle w:val="Heading2"/>
      </w:pPr>
      <w:r>
        <w:rPr>
          <w:color w:val="E67E00"/>
        </w:rPr>
        <w:t xml:space="preserve">[HIGH] SEC-006: Debug Token Exposed in Password Reset</w:t>
      </w:r>
    </w:p>
    <w:p>
      <w:pPr>
        <w:spacing w:after="100"/>
      </w:pPr>
      <w:r>
        <w:t xml:space="preserve">The forgot-password endpoint returns the password reset token in the API response when DEBUG mode is enabled. While gated behind settings.is_development and settings.DEBUG, if these flags are accidentally left on in staging/production, any user could obtain reset tokens for other accounts via the API, leading to full account takeover.</w:t>
      </w:r>
    </w:p>
    <w:p>
      <w:pPr>
        <w:pStyle w:val="ListParagraph"/>
        <w:numPr>
          <w:ilvl w:val="0"/>
          <w:numId w:val="7"/>
        </w:numPr>
      </w:pPr>
      <w:r>
        <w:t xml:space="preserve">Remove the debug_token response entirely; send tokens exclusively via email</w:t>
      </w:r>
    </w:p>
    <w:p>
      <w:pPr>
        <w:pStyle w:val="ListParagraph"/>
        <w:numPr>
          <w:ilvl w:val="0"/>
          <w:numId w:val="7"/>
        </w:numPr>
        <w:spacing w:after="200"/>
      </w:pPr>
      <w:r>
        <w:t xml:space="preserve">Use environment-specific configuration that prevents DEBUG=true in any non-local environment</w:t>
      </w:r>
    </w:p>
    <w:p>
      <w:pPr>
        <w:pStyle w:val="Heading2"/>
      </w:pPr>
      <w:r>
        <w:rPr>
          <w:color w:val="E67E00"/>
        </w:rPr>
        <w:t xml:space="preserve">[HIGH] SEC-007: Silent AI Fallback to Mock Provider</w:t>
      </w:r>
    </w:p>
    <w:p>
      <w:pPr>
        <w:spacing w:after="100"/>
      </w:pPr>
      <w:r>
        <w:t xml:space="preserve">When the primary AI provider fails (network error, rate limit, invalid API key), the system silently falls back to MockAIProvider which returns hardcoded template responses. Users receive fake AI-generated task decompositions, unblock suggestions, and skill inferences without any indication that the data is not real. This directly causes hallucination in production.</w:t>
      </w:r>
    </w:p>
    <w:p>
      <w:pPr>
        <w:pStyle w:val="ListParagraph"/>
        <w:numPr>
          <w:ilvl w:val="0"/>
          <w:numId w:val="8"/>
        </w:numPr>
      </w:pPr>
      <w:r>
        <w:t xml:space="preserve">Return an explicit error to the user when the AI provider fails instead of serving mock data</w:t>
      </w:r>
    </w:p>
    <w:p>
      <w:pPr>
        <w:pStyle w:val="ListParagraph"/>
        <w:numPr>
          <w:ilvl w:val="0"/>
          <w:numId w:val="8"/>
        </w:numPr>
      </w:pPr>
      <w:r>
        <w:t xml:space="preserve">If fallback is desired, clearly label responses as "AI Unavailable — showing template data"</w:t>
      </w:r>
    </w:p>
    <w:p>
      <w:pPr>
        <w:pStyle w:val="ListParagraph"/>
        <w:numPr>
          <w:ilvl w:val="0"/>
          <w:numId w:val="8"/>
        </w:numPr>
        <w:spacing w:after="200"/>
      </w:pPr>
      <w:r>
        <w:t xml:space="preserve">Add monitoring/alerting for AI provider failures</w:t>
      </w:r>
    </w:p>
    <w:p>
      <w:pPr>
        <w:pStyle w:val="Heading2"/>
      </w:pPr>
      <w:r>
        <w:rPr>
          <w:color w:val="E67E00"/>
        </w:rPr>
        <w:t xml:space="preserve">[HIGH] SEC-008: Error Boundary Exposes Stack Traces</w:t>
      </w:r>
    </w:p>
    <w:p>
      <w:pPr>
        <w:spacing w:after="100"/>
      </w:pPr>
      <w:r>
        <w:t xml:space="preserve">The React ErrorBoundary in App.tsx renders the full error.message and error.stack to users. In production, stack traces can reveal internal file paths, library versions, and code structure to attackers.</w:t>
      </w:r>
    </w:p>
    <w:p>
      <w:pPr>
        <w:pStyle w:val="ListParagraph"/>
        <w:numPr>
          <w:ilvl w:val="0"/>
          <w:numId w:val="9"/>
        </w:numPr>
      </w:pPr>
      <w:r>
        <w:t xml:space="preserve">Show a generic error message in production; only show stack traces when NODE_ENV=development</w:t>
      </w:r>
    </w:p>
    <w:p>
      <w:pPr>
        <w:pStyle w:val="ListParagraph"/>
        <w:numPr>
          <w:ilvl w:val="0"/>
          <w:numId w:val="9"/>
        </w:numPr>
        <w:spacing w:after="200"/>
      </w:pPr>
      <w:r>
        <w:t xml:space="preserve">Send errors to a monitoring service (Sentry, Datadog) instead of displaying them</w:t>
      </w:r>
    </w:p>
    <w:p>
      <w:r>
        <w:br w:type="page"/>
      </w:r>
    </w:p>
    <w:p>
      <w:pPr>
        <w:pStyle w:val="Heading1"/>
      </w:pPr>
      <w:r>
        <w:t xml:space="preserve">5. Medium-Severity Findings</w:t>
      </w:r>
    </w:p>
    <w:p>
      <w:pPr>
        <w:pStyle w:val="Heading3"/>
      </w:pPr>
      <w:r>
        <w:t xml:space="preserve">5.1 Auto-Commit in Database Session</w:t>
      </w:r>
    </w:p>
    <w:p>
      <w:pPr>
        <w:spacing w:after="200"/>
      </w:pPr>
      <w:r>
        <w:t xml:space="preserve">The get_db() dependency auto-commits after every request in the finally block. This means even read-only endpoints trigger a commit, and partial failures in multi-step operations could leave the database in an inconsistent state. Use explicit commit calls within service methods instead.</w:t>
      </w:r>
    </w:p>
    <w:p>
      <w:pPr>
        <w:pStyle w:val="Heading3"/>
      </w:pPr>
      <w:r>
        <w:t xml:space="preserve">5.2 Massive Code Duplication in AI Providers</w:t>
      </w:r>
    </w:p>
    <w:p>
      <w:pPr>
        <w:spacing w:after="200"/>
      </w:pPr>
      <w:r>
        <w:t xml:space="preserve">MistralAIProvider, KimiAIProvider, and OllamaAIProvider are nearly identical (~250 lines each) with the only difference being the API URL and auth header. This violates DRY and makes bug fixes require changes in 4 places. Extract a base OpenAICompatibleProvider class.</w:t>
      </w:r>
    </w:p>
    <w:p>
      <w:pPr>
        <w:pStyle w:val="Heading3"/>
      </w:pPr>
      <w:r>
        <w:t xml:space="preserve">5.3 Random Sentiment Analysis</w:t>
      </w:r>
    </w:p>
    <w:p>
      <w:pPr>
        <w:spacing w:after="200"/>
      </w:pPr>
      <w:r>
        <w:t xml:space="preserve">The analyze_sentiment() method returns random.choice(sentiments) even in production. This means check-in responses receive randomly assigned sentiments, which could trigger incorrect escalations or coaching recommendations.</w:t>
      </w:r>
    </w:p>
    <w:p>
      <w:pPr>
        <w:pStyle w:val="Heading3"/>
      </w:pPr>
      <w:r>
        <w:t xml:space="preserve">5.4 CORS Wildcard Risk</w:t>
      </w:r>
    </w:p>
    <w:p>
      <w:pPr>
        <w:spacing w:after="200"/>
      </w:pPr>
      <w:r>
        <w:t xml:space="preserve">The CORS configuration should be verified to ensure it does not allow wildcard origins in production. With withCredentials: true on the frontend, a wildcard origin would be rejected by browsers, but the backend config should be explicitly locked to known origins.</w:t>
      </w:r>
    </w:p>
    <w:p>
      <w:pPr>
        <w:pStyle w:val="Heading3"/>
      </w:pPr>
      <w:r>
        <w:t xml:space="preserve">5.5 No Rate Limiting on Auth Endpoints</w:t>
      </w:r>
    </w:p>
    <w:p>
      <w:pPr>
        <w:spacing w:after="200"/>
      </w:pPr>
      <w:r>
        <w:t xml:space="preserve">While the frontend handles 429 responses, there is no evidence of rate limiting middleware on the backend login, registration, or password reset endpoints. This exposes the application to brute-force and credential stuffing attacks.</w:t>
      </w:r>
    </w:p>
    <w:p>
      <w:pPr>
        <w:pStyle w:val="Heading3"/>
      </w:pPr>
      <w:r>
        <w:t xml:space="preserve">5.6 Missing Input Size Limits on API Endpoints</w:t>
      </w:r>
    </w:p>
    <w:p>
      <w:pPr>
        <w:spacing w:after="200"/>
      </w:pPr>
      <w:r>
        <w:t xml:space="preserve">While AI prompts are sanitized with max_length limits, the general API endpoints (task creation, comments, knowledge base documents) do not appear to enforce maximum payload sizes, which could lead to denial-of-service via oversized payloads.</w:t>
      </w:r>
    </w:p>
    <w:p>
      <w:r>
        <w:br w:type="page"/>
      </w:r>
    </w:p>
    <w:p>
      <w:pPr>
        <w:pStyle w:val="Heading1"/>
      </w:pPr>
      <w:r>
        <w:t xml:space="preserve">6. What Works Well</w:t>
      </w:r>
    </w:p>
    <w:p>
      <w:pPr>
        <w:pStyle w:val="Heading3"/>
      </w:pPr>
      <w:r>
        <w:t xml:space="preserve">6.1 Prompt Injection Defense (SEC-004)</w:t>
      </w:r>
    </w:p>
    <w:p>
      <w:pPr>
        <w:spacing w:after="200"/>
      </w:pPr>
      <w:r>
        <w:t xml:space="preserve">The sanitize_user_input() function strips control characters and blocks common injection patterns ("ignore previous instructions", system prompt markers, etc.). All AI provider methods apply this sanitization before constructing prompts. This is a solid first layer of defense.</w:t>
      </w:r>
    </w:p>
    <w:p>
      <w:pPr>
        <w:pStyle w:val="Heading3"/>
      </w:pPr>
      <w:r>
        <w:t xml:space="preserve">6.2 CSRF Protection (SEC-006)</w:t>
      </w:r>
    </w:p>
    <w:p>
      <w:pPr>
        <w:spacing w:after="200"/>
      </w:pPr>
      <w:r>
        <w:t xml:space="preserve">The double-submit cookie pattern is properly implemented: the backend sets a csrf_token cookie, and the frontend reads it and sends it as X-CSRF-Token header on all state-changing requests (POST, PUT, PATCH, DELETE).</w:t>
      </w:r>
    </w:p>
    <w:p>
      <w:pPr>
        <w:pStyle w:val="Heading3"/>
      </w:pPr>
      <w:r>
        <w:t xml:space="preserve">6.3 Agent Orchestration Architecture</w:t>
      </w:r>
    </w:p>
    <w:p>
      <w:pPr>
        <w:spacing w:after="200"/>
      </w:pPr>
      <w:r>
        <w:t xml:space="preserve">The event-driven agent system with capability indexing, pipeline/parallel execution, max chain depth, and execution history is well-designed. The orchestrator pattern provides clean separation of concerns and extensibility for adding new agents.</w:t>
      </w:r>
    </w:p>
    <w:p>
      <w:pPr>
        <w:pStyle w:val="Heading3"/>
      </w:pPr>
      <w:r>
        <w:t xml:space="preserve">6.4 Token Refresh with Queue</w:t>
      </w:r>
    </w:p>
    <w:p>
      <w:pPr>
        <w:spacing w:after="200"/>
      </w:pPr>
      <w:r>
        <w:t xml:space="preserve">The frontend API client implements a proper token refresh mechanism with request queuing: when a 401 is received, concurrent requests are queued while a single refresh call is made, then all queued requests are retried with the new token. This prevents token refresh race conditions.</w:t>
      </w:r>
    </w:p>
    <w:p>
      <w:pPr>
        <w:pStyle w:val="Heading3"/>
      </w:pPr>
      <w:r>
        <w:t xml:space="preserve">6.5 AI Cache with LRU Eviction (SEC-009/010)</w:t>
      </w:r>
    </w:p>
    <w:p>
      <w:pPr>
        <w:spacing w:after="200"/>
      </w:pPr>
      <w:r>
        <w:t xml:space="preserve">The AI response cache uses SHA-256 for key generation, bounded LRU eviction, and TTL expiration. This prevents unbounded memory growth and avoids the weak hashing (MD5) that was previously used.</w:t>
      </w:r>
    </w:p>
    <w:p>
      <w:r>
        <w:br w:type="page"/>
      </w:r>
    </w:p>
    <w:p>
      <w:pPr>
        <w:pStyle w:val="Heading1"/>
      </w:pPr>
      <w:r>
        <w:t xml:space="preserve">7. Priority Remediation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4680"/>
        <w:gridCol w:w="1560"/>
      </w:tblGrid>
      <w:tr>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P0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Week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Rotate all API keys; remove debug_token from password reset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hours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P0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Week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Pydantic validation for all AI output schemas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day</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P0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Week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 silent mock fallback with explicit error responses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hours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00"/>
                <w:sz w:val="20"/>
                <w:szCs w:val="20"/>
              </w:rPr>
              <w:t xml:space="preserve">P1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 Sprint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server-side RBAC on all API endpoints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days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00"/>
                <w:sz w:val="20"/>
                <w:szCs w:val="20"/>
              </w:rPr>
              <w:t xml:space="preserve">P1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 Sprint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Migrate token storage to httpOnly cookies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days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00"/>
                <w:sz w:val="20"/>
                <w:szCs w:val="20"/>
              </w:rPr>
              <w:t xml:space="preserve">P1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 Sprint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rate limiting on auth endpoints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day</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66CC"/>
                <w:sz w:val="20"/>
                <w:szCs w:val="20"/>
              </w:rPr>
              <w:t xml:space="preserve">P2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 Month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Migrate from SQLite to PostgreSQL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week</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66CC"/>
                <w:sz w:val="20"/>
                <w:szCs w:val="20"/>
              </w:rPr>
              <w:t xml:space="preserve">P2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 Month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Refactor AI providers into base class pattern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day</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66CC"/>
                <w:sz w:val="20"/>
                <w:szCs w:val="20"/>
              </w:rPr>
              <w:t xml:space="preserve">P2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 Month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real sentiment analysis (replace random)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days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20"/>
                <w:szCs w:val="20"/>
              </w:rPr>
              <w:t xml:space="preserve">P3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Backlog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Hide stack traces in production ErrorBoundary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hours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20"/>
                <w:szCs w:val="20"/>
              </w:rPr>
              <w:t xml:space="preserve">P3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Backlog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CSP headers and payload size limits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hours</w:t>
            </w:r>
          </w:p>
        </w:tc>
      </w:tr>
    </w:tbl>
    <w:p>
      <w:pPr>
        <w:spacing w:before="400" w:after="200"/>
      </w:pPr>
      <w:r>
        <w:rPr>
          <w:b/>
          <w:bCs/>
        </w:rPr>
        <w:t xml:space="preserve">Bottom Line: </w:t>
      </w:r>
      <w:r>
        <w:t xml:space="preserve">TaskPulse has a thoughtful architecture with good foundational security practices (prompt injection defense, CSRF, token rotation). The critical gap is the </w:t>
      </w:r>
      <w:r>
        <w:rPr>
          <w:b/>
          <w:bCs/>
        </w:rPr>
        <w:t xml:space="preserve">absence of AI output validation</w:t>
      </w:r>
      <w:r>
        <w:t xml:space="preserve"> — for an enterprise AI application targeting 0% hallucination, this is the highest-priority fix. Combined with server-side RBAC enforcement and proper secrets management, these changes would bring the application to a production-ready security posture.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1"/>
      </w:pBdr>
      <w:tabs>
        <w:tab w:val="right" w:pos="9026"/>
      </w:tabs>
    </w:pPr>
    <w:r>
      <w:rPr>
        <w:rFonts w:ascii="Arial" w:cs="Arial" w:eastAsia="Arial" w:hAnsi="Arial"/>
        <w:i/>
        <w:iCs/>
        <w:color w:val="888888"/>
        <w:sz w:val="18"/>
        <w:szCs w:val="18"/>
      </w:rPr>
      <w:t xml:space="preserve">TaskPulse AI — Application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09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6E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2026-02-16T18:58:34.674Z</dcterms:created>
  <dcterms:modified xsi:type="dcterms:W3CDTF">2026-02-16T18:58:34.674Z</dcterms:modified>
</cp:coreProperties>
</file>

<file path=docProps/custom.xml><?xml version="1.0" encoding="utf-8"?>
<Properties xmlns="http://schemas.openxmlformats.org/officeDocument/2006/custom-properties" xmlns:vt="http://schemas.openxmlformats.org/officeDocument/2006/docPropsVTypes"/>
</file>