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SECURITY AUDIT REPORT</w:t>
      </w:r>
    </w:p>
    <w:p>
      <w:pPr>
        <w:spacing w:after="100"/>
        <w:jc w:val="center"/>
      </w:pPr>
      <w:r>
        <w:rPr>
          <w:rFonts w:ascii="Arial" w:cs="Arial" w:eastAsia="Arial" w:hAnsi="Arial"/>
          <w:color w:val="3D5A80"/>
          <w:sz w:val="36"/>
          <w:szCs w:val="36"/>
        </w:rPr>
        <w:t xml:space="preserve">TaskPulse — AI Assistant</w:t>
      </w:r>
    </w:p>
    <w:p>
      <w:pPr>
        <w:spacing w:after="100"/>
        <w:jc w:val="center"/>
      </w:pPr>
      <w:r>
        <w:rPr>
          <w:rFonts w:ascii="Arial" w:cs="Arial" w:eastAsia="Arial" w:hAnsi="Arial"/>
          <w:color w:val="666666"/>
          <w:sz w:val="28"/>
          <w:szCs w:val="28"/>
        </w:rPr>
        <w:t xml:space="preserve">v1.0.0</w:t>
      </w:r>
    </w:p>
    <w:p>
      <w:pPr>
        <w:pBdr>
          <w:bottom w:val="single" w:color="CC0000" w:sz="6" w:space="8"/>
        </w:pBdr>
        <w:spacing w:after="600"/>
        <w:jc w:val="center"/>
      </w:pPr>
    </w:p>
    <w:p>
      <w:pPr>
        <w:spacing w:after="100"/>
        <w:jc w:val="center"/>
      </w:pPr>
      <w:r>
        <w:rPr>
          <w:rFonts w:ascii="Arial" w:cs="Arial" w:eastAsia="Arial" w:hAnsi="Arial"/>
          <w:color w:val="555555"/>
          <w:sz w:val="24"/>
          <w:szCs w:val="24"/>
        </w:rPr>
        <w:t xml:space="preserve">February 16, 2026</w:t>
      </w:r>
    </w:p>
    <w:p>
      <w:pPr>
        <w:spacing w:after="100"/>
        <w:jc w:val="center"/>
      </w:pPr>
      <w:r>
        <w:rPr>
          <w:rFonts w:ascii="Arial" w:cs="Arial" w:eastAsia="Arial" w:hAnsi="Arial"/>
          <w:b/>
          <w:bCs/>
          <w:color w:val="CC0000"/>
          <w:sz w:val="22"/>
          <w:szCs w:val="22"/>
        </w:rPr>
        <w:t xml:space="preserve">Classification: CONFIDENTIAL</w:t>
      </w:r>
    </w:p>
    <w:p>
      <w:pPr>
        <w:spacing w:after="2000"/>
        <w:jc w:val="center"/>
      </w:pPr>
      <w:r>
        <w:rPr>
          <w:rFonts w:ascii="Arial" w:cs="Arial" w:eastAsia="Arial" w:hAnsi="Arial"/>
          <w:color w:val="555555"/>
          <w:sz w:val="22"/>
          <w:szCs w:val="22"/>
        </w:rPr>
        <w:t xml:space="preserve">Audited by: AI Security Audit Engine</w:t>
      </w:r>
    </w:p>
    <w:p>
      <w:pPr>
        <w:spacing w:after="200"/>
        <w:jc w:val="center"/>
      </w:pPr>
      <w:r>
        <w:rPr>
          <w:rFonts w:ascii="Arial" w:cs="Arial" w:eastAsia="Arial" w:hAnsi="Arial"/>
          <w:b/>
          <w:bCs/>
          <w:color w:val="1B2A4A"/>
          <w:sz w:val="28"/>
          <w:szCs w:val="28"/>
        </w:rPr>
        <w:t xml:space="preserve">OVERALL RISK RATING</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tcBorders>
              <w:top w:val="single" w:color="CC0000" w:sz="2"/>
              <w:left w:val="single" w:color="CC0000" w:sz="2"/>
              <w:bottom w:val="single" w:color="CC0000" w:sz="2"/>
              <w:right w:val="single" w:color="CC0000" w:sz="2"/>
            </w:tcBorders>
            <w:shd w:fill="CC0000" w:val="clear"/>
            <w:tcMar>
              <w:top w:type="dxa" w:w="200"/>
              <w:left w:type="dxa" w:w="200"/>
              <w:bottom w:type="dxa" w:w="200"/>
              <w:right w:type="dxa" w:w="200"/>
            </w:tcMar>
          </w:tcPr>
          <w:p>
            <w:pPr>
              <w:jc w:val="center"/>
            </w:pPr>
            <w:r>
              <w:rPr>
                <w:rFonts w:ascii="Arial" w:cs="Arial" w:eastAsia="Arial" w:hAnsi="Arial"/>
                <w:b/>
                <w:bCs/>
                <w:color w:val="FFFFFF"/>
                <w:sz w:val="40"/>
                <w:szCs w:val="40"/>
              </w:rPr>
              <w:t xml:space="preserve">HIGH RISK</w:t>
            </w:r>
          </w:p>
        </w:tc>
      </w:tr>
    </w:tbl>
    <w:p>
      <w:r>
        <w:br w:type="page"/>
      </w: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sz w:val="22"/>
          <w:szCs w:val="22"/>
        </w:rPr>
        <w:t xml:space="preserve">This security audit covers the full-stack TaskPulse AI Assistant application, a workforce productivity platform with AI-powered task management, check-in engines, and unblock assistance. The audit examined the FastAPI backend, React/TypeScript frontend, AI service integration, database layer, authentication system, and deployment configuration.</w:t>
      </w:r>
    </w:p>
    <w:p>
      <w:pPr>
        <w:spacing w:after="120"/>
      </w:pPr>
      <w:r>
        <w:rPr>
          <w:rFonts w:ascii="Arial" w:cs="Arial" w:eastAsia="Arial" w:hAnsi="Arial"/>
          <w:sz w:val="22"/>
          <w:szCs w:val="22"/>
        </w:rPr>
        <w:t xml:space="preserve">The audit identified 17 security findings across all severity levels. Three findings are rated CRITICAL, requiring immediate remediation before any production deployment. The most significant issue is the combination of a hardcoded JWT secret key, zero rate limiting, and unsubstantiated AI safety claims — together creating a systemic risk to enterprise data integrity and user trust.</w:t>
      </w:r>
    </w:p>
    <w:p>
      <w:pPr>
        <w:pStyle w:val="Heading1"/>
        <w:spacing w:before="300" w:after="150"/>
      </w:pPr>
      <w:r>
        <w:rPr>
          <w:rFonts w:ascii="Arial" w:cs="Arial" w:eastAsia="Arial" w:hAnsi="Arial"/>
        </w:rPr>
        <w:t xml:space="preserve">2.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20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SEC-001</w:t>
            </w:r>
          </w:p>
        </w:tc>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Default SECRET_KEY in Config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SEC-002</w:t>
            </w:r>
          </w:p>
        </w:tc>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Rate Limiting Implemented on Auth Endpoints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SEC-003</w:t>
            </w:r>
          </w:p>
        </w:tc>
        <w:tc>
          <w:tcPr>
            <w:tcW w:type="dxa" w:w="1200"/>
            <w:tcBorders>
              <w:top w:val="single" w:color="CCCCCC" w:sz="1"/>
              <w:left w:val="single" w:color="CCCCCC" w:sz="1"/>
              <w:bottom w:val="single" w:color="CCCCCC" w:sz="1"/>
              <w:right w:val="single" w:color="CCCCCC" w:sz="1"/>
            </w:tcBorders>
            <w:shd w:fill="CC0000" w:val="clear"/>
            <w:tcMar>
              <w:top w:type="dxa" w:w="80"/>
              <w:left w:type="dxa" w:w="120"/>
              <w:bottom w:type="dxa" w:w="80"/>
              <w:right w:type="dxa" w:w="120"/>
            </w:tcMar>
          </w:tcPr>
          <w:p>
            <w:r>
              <w:rPr>
                <w:rFonts w:ascii="Arial" w:cs="Arial" w:eastAsia="Arial" w:hAnsi="Arial"/>
                <w:b/>
                <w:bCs/>
                <w:color w:val="FFFFFF"/>
                <w:sz w:val="20"/>
                <w:szCs w:val="20"/>
              </w:rPr>
              <w:t xml:space="preserve">CRITICAL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"0% Hallucination" Claim is Unsubstantiated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SEC-004</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 Vulnerability in AI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SEC-005</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Tokens Stored in localStorage (XSS-Exploitable)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SEC-006</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CSRF Protection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SEC-007</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Has No Size Validation or Malware Scanning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SEC-008</w:t>
            </w:r>
          </w:p>
        </w:tc>
        <w:tc>
          <w:tcPr>
            <w:tcW w:type="dxa" w:w="120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WebSocket Chat Endpoint Lacks Authentication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SEC-009</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MD5 Used for Cache Keys (Collision Risk)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SEC-010</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Cache Has No Size Bound (Memory DoS)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SEC-011</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Endpoint Leaks Database Error Details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SEC-012</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Allows All Methods and Headers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SEC-013</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OpenAI/Anthropic Providers Silently Fall Back to Mock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SEC-014</w:t>
            </w:r>
          </w:p>
        </w:tc>
        <w:tc>
          <w:tcPr>
            <w:tcW w:type="dxa" w:w="1200"/>
            <w:tcBorders>
              <w:top w:val="single" w:color="CCCCCC" w:sz="1"/>
              <w:left w:val="single" w:color="CCCCCC" w:sz="1"/>
              <w:bottom w:val="single" w:color="CCCCCC" w:sz="1"/>
              <w:right w:val="single" w:color="CCCCCC" w:sz="1"/>
            </w:tcBorders>
            <w:shd w:fill="F9A825"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Account Lockout After Failed Login Attempts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SEC-015</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DEBUG and RELOAD Enabled by Default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SEC-016</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Documentation Exposed Based on Environment Only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SEC-017</w:t>
            </w:r>
          </w:p>
        </w:tc>
        <w:tc>
          <w:tcPr>
            <w:tcW w:type="dxa" w:w="1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Used as Production Database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r>
    </w:tbl>
    <w:p>
      <w:pPr>
        <w:spacing w:before="300" w:after="100"/>
      </w:pPr>
    </w:p>
    <w:p>
      <w:pPr>
        <w:spacing w:after="100"/>
      </w:pPr>
      <w:r>
        <w:rPr>
          <w:rFonts w:ascii="Arial" w:cs="Arial" w:eastAsia="Arial" w:hAnsi="Arial"/>
          <w:b/>
          <w:bCs/>
          <w:sz w:val="22"/>
          <w:szCs w:val="22"/>
        </w:rPr>
        <w:t xml:space="preserve">Critical: </w:t>
      </w:r>
      <w:r>
        <w:rPr>
          <w:rFonts w:ascii="Arial" w:cs="Arial" w:eastAsia="Arial" w:hAnsi="Arial"/>
          <w:sz w:val="22"/>
          <w:szCs w:val="22"/>
        </w:rPr>
        <w:t xml:space="preserve">3 findings — Immediate remediation required</w:t>
      </w:r>
    </w:p>
    <w:p>
      <w:pPr>
        <w:spacing w:after="100"/>
      </w:pPr>
      <w:r>
        <w:rPr>
          <w:rFonts w:ascii="Arial" w:cs="Arial" w:eastAsia="Arial" w:hAnsi="Arial"/>
          <w:b/>
          <w:bCs/>
          <w:sz w:val="22"/>
          <w:szCs w:val="22"/>
        </w:rPr>
        <w:t xml:space="preserve">High: </w:t>
      </w:r>
      <w:r>
        <w:rPr>
          <w:rFonts w:ascii="Arial" w:cs="Arial" w:eastAsia="Arial" w:hAnsi="Arial"/>
          <w:sz w:val="22"/>
          <w:szCs w:val="22"/>
        </w:rPr>
        <w:t xml:space="preserve">5 findings — Fix before production deployment</w:t>
      </w:r>
    </w:p>
    <w:p>
      <w:pPr>
        <w:spacing w:after="100"/>
      </w:pPr>
      <w:r>
        <w:rPr>
          <w:rFonts w:ascii="Arial" w:cs="Arial" w:eastAsia="Arial" w:hAnsi="Arial"/>
          <w:b/>
          <w:bCs/>
          <w:sz w:val="22"/>
          <w:szCs w:val="22"/>
        </w:rPr>
        <w:t xml:space="preserve">Medium: </w:t>
      </w:r>
      <w:r>
        <w:rPr>
          <w:rFonts w:ascii="Arial" w:cs="Arial" w:eastAsia="Arial" w:hAnsi="Arial"/>
          <w:sz w:val="22"/>
          <w:szCs w:val="22"/>
        </w:rPr>
        <w:t xml:space="preserve">6 findings — Address in next sprint</w:t>
      </w:r>
    </w:p>
    <w:p>
      <w:pPr>
        <w:spacing w:after="100"/>
      </w:pPr>
      <w:r>
        <w:rPr>
          <w:rFonts w:ascii="Arial" w:cs="Arial" w:eastAsia="Arial" w:hAnsi="Arial"/>
          <w:b/>
          <w:bCs/>
          <w:sz w:val="22"/>
          <w:szCs w:val="22"/>
        </w:rPr>
        <w:t xml:space="preserve">Low: </w:t>
      </w:r>
      <w:r>
        <w:rPr>
          <w:rFonts w:ascii="Arial" w:cs="Arial" w:eastAsia="Arial" w:hAnsi="Arial"/>
          <w:sz w:val="22"/>
          <w:szCs w:val="22"/>
        </w:rPr>
        <w:t xml:space="preserve">3 findings — Track and schedule</w:t>
      </w:r>
    </w:p>
    <w:p>
      <w:r>
        <w:br w:type="page"/>
      </w:r>
    </w:p>
    <w:p>
      <w:pPr>
        <w:pStyle w:val="Heading1"/>
        <w:spacing w:before="300" w:after="150"/>
      </w:pPr>
      <w:r>
        <w:rPr>
          <w:rFonts w:ascii="Arial" w:cs="Arial" w:eastAsia="Arial" w:hAnsi="Arial"/>
        </w:rPr>
        <w:t xml:space="preserve">3. Detailed Findings</w:t>
      </w:r>
    </w:p>
    <w:p>
      <w:pPr>
        <w:pStyle w:val="Heading2"/>
        <w:spacing w:before="300" w:after="150"/>
      </w:pPr>
      <w:r>
        <w:rPr>
          <w:rFonts w:ascii="Arial" w:cs="Arial" w:eastAsia="Arial" w:hAnsi="Arial"/>
        </w:rPr>
        <w:t xml:space="preserve">SEC-001: Hardcoded Default SECRET_KEY in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JWT SECRET_KEY defaults to a known string "your-super-secret-key-change-in-production-min-32-chars" in config.py (line 42). While validate_production_settings() checks this in production, the check only fires if ENVIRONMENT=production. Any staging or misconfigured deployment uses the default, allowing full JWT forgery.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authentication bypass. Any attacker can forge valid JWTs for any user, including SUPER_ADMIN, gaining unrestricted access to all data and operations.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default value entirely. Require SECRET_KEY via environment variable with no fallback. Fail fast on startup if missing, regardless of ENVIRONMENT setting.</w:t>
            </w:r>
          </w:p>
        </w:tc>
      </w:tr>
    </w:tbl>
    <w:p>
      <w:pPr>
        <w:pStyle w:val="Heading2"/>
        <w:spacing w:before="300" w:after="150"/>
      </w:pPr>
      <w:r>
        <w:rPr>
          <w:rFonts w:ascii="Arial" w:cs="Arial" w:eastAsia="Arial" w:hAnsi="Arial"/>
        </w:rPr>
        <w:t xml:space="preserve">SEC-002: No Rate Limiting Implemented on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Despite RATE_LIMIT_REQUESTS and RATE_LIMIT_WINDOW_SECONDS being defined in config, grep shows zero actual rate limiting middleware or enforcement in any endpoint. The /auth/login, /auth/register, /auth/refresh, and /ai/unblock endpoints are completely unprotected.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brute-force password attacks, credential stuffing, account enumeration, and AI cost exhaustion (unbounded LLM API calls). An attacker can automate login attempts at unlimited speed.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rate limiting middleware (e.g., slowapi or fastapi-limiter). Apply strict limits: 5 req/min on login, 3 req/min on register, 10 req/min on AI endpoints. Use IP + user-based throttling.</w:t>
            </w:r>
          </w:p>
        </w:tc>
      </w:tr>
    </w:tbl>
    <w:p>
      <w:pPr>
        <w:pStyle w:val="Heading2"/>
        <w:spacing w:before="300" w:after="150"/>
      </w:pPr>
      <w:r>
        <w:rPr>
          <w:rFonts w:ascii="Arial" w:cs="Arial" w:eastAsia="Arial" w:hAnsi="Arial"/>
        </w:rPr>
        <w:t xml:space="preserve">SEC-003: AI "0% Hallucination" Claim is Unsubstantiated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README and API description claim "RAG-powered contextual help with 0% hallucination" but the AI service has zero hallucination prevention controls. The mock provider returns hardcoded templates (random.choice). The real providers (Mistral, Kimi, Ollama) directly pass user input into LLM prompts with no output validation, grounding checks, or citation verification. The json.loads fallback silently returns mock data when parsing fails.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Enterprise users making decisions based on AI suggestions that may be fabricated. The false "0% hallucination" claim creates dangerous trust. In a workforce management tool, wrong AI unblock advice could cause project delays or security incidents.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"0% hallucination" claim immediately. Implement: (1) RAG with actual document retrieval and source citation, (2) output validation against knowledge base, (3) confidence thresholds that trigger human escalation, (4) clear disclaimers on all AI-generated content.</w:t>
            </w:r>
          </w:p>
        </w:tc>
      </w:tr>
    </w:tbl>
    <w:p>
      <w:pPr>
        <w:pStyle w:val="Heading2"/>
        <w:spacing w:before="300" w:after="150"/>
      </w:pPr>
      <w:r>
        <w:rPr>
          <w:rFonts w:ascii="Arial" w:cs="Arial" w:eastAsia="Arial" w:hAnsi="Arial"/>
        </w:rPr>
        <w:t xml:space="preserve">SEC-004: Prompt Injection Vulnerability in AI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User-supplied task titles, descriptions, and blocker text are directly interpolated into LLM prompts via f-strings (ai_service.py lines 352-356, 393-398) without any sanitization or escaping. An attacker can inject system prompt overrides to manipulate AI output.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Attackers can extract system prompts, manipulate AI suggestions to provide malicious advice, or cause the AI to produce harmful task decompositions that get auto-applied to the project.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prompt injection defenses: (1) input sanitization removing instruction-like patterns, (2) output validation against expected schema, (3) use structured message APIs with clear user/system boundaries, (4) content filtering on both input and output.</w:t>
            </w:r>
          </w:p>
        </w:tc>
      </w:tr>
    </w:tbl>
    <w:p>
      <w:pPr>
        <w:pStyle w:val="Heading2"/>
        <w:spacing w:before="300" w:after="150"/>
      </w:pPr>
      <w:r>
        <w:rPr>
          <w:rFonts w:ascii="Arial" w:cs="Arial" w:eastAsia="Arial" w:hAnsi="Arial"/>
        </w:rPr>
        <w:t xml:space="preserve">SEC-005: Tokens Stored in localStorage (XSS-Exploitable)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frontend stores JWT access and refresh tokens in localStorage (authStore.ts, api-client.ts). localStorage is accessible to any JavaScript running on the page, including XSS payloads.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single XSS vulnerability anywhere in the application gives attackers persistent access to both the access and refresh tokens, allowing full account takeover that persists across sessions.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tokens in httpOnly, Secure, SameSite=Strict cookies set by the backend. This prevents JavaScript access entirely. If localStorage must be used, implement token rotation and very short access token lifetimes (5 min).</w:t>
            </w:r>
          </w:p>
        </w:tc>
      </w:tr>
    </w:tbl>
    <w:p>
      <w:pPr>
        <w:pStyle w:val="Heading2"/>
        <w:spacing w:before="300" w:after="150"/>
      </w:pPr>
      <w:r>
        <w:rPr>
          <w:rFonts w:ascii="Arial" w:cs="Arial" w:eastAsia="Arial" w:hAnsi="Arial"/>
        </w:rPr>
        <w:t xml:space="preserve">SEC-006: No CSRF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application uses Bearer tokens from localStorage, but there is no CSRF token validation. The CORS configuration allows credentials (CORS_ALLOW_CREDENTIALS=True) with specific origins, but CORS alone does not prevent CSRF for non-simple requests if the attacker can predict the request format.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Attackers can craft malicious pages that trigger state-changing API calls (task creation, user modification, AI operations) when an authenticated user visits them.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CSRF protection using either: (1) double-submit cookie pattern, (2) synchronizer token pattern, or (3) if switching to httpOnly cookies, use SameSite=Strict attribute.</w:t>
            </w:r>
          </w:p>
        </w:tc>
      </w:tr>
    </w:tbl>
    <w:p>
      <w:pPr>
        <w:pStyle w:val="Heading2"/>
        <w:spacing w:before="300" w:after="150"/>
      </w:pPr>
      <w:r>
        <w:rPr>
          <w:rFonts w:ascii="Arial" w:cs="Arial" w:eastAsia="Arial" w:hAnsi="Arial"/>
        </w:rPr>
        <w:t xml:space="preserve">SEC-007: File Upload Has No Size Validation or Malware Scanning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upload_document endpoint (ai_unblock.py line 263) reads the entire file into memory with no size check against MAX_UPLOAD_SIZE_MB. The only validation is a UTF-8 decode attempt. File extension and content type are not validated against ALLOWED_UPLOAD_EXTENSIONS.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Denial of service via large file uploads. Potential storage of malicious content in the knowledge base. Memory exhaustion on the server.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Enforce MAX_UPLOAD_SIZE_MB using streaming reads. Validate file extension against ALLOWED_UPLOAD_EXTENSIONS. Add content-type validation. Consider antivirus scanning for uploaded files.</w:t>
            </w:r>
          </w:p>
        </w:tc>
      </w:tr>
    </w:tbl>
    <w:p>
      <w:pPr>
        <w:pStyle w:val="Heading2"/>
        <w:spacing w:before="300" w:after="150"/>
      </w:pPr>
      <w:r>
        <w:rPr>
          <w:rFonts w:ascii="Arial" w:cs="Arial" w:eastAsia="Arial" w:hAnsi="Arial"/>
        </w:rPr>
        <w:t xml:space="preserve">SEC-008: WebSocket Chat Endpoint Lacks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chat.py module includes WebSocket support. WebSocket connections typically bypass standard HTTP middleware auth flows. Without explicit token validation in the WebSocket handshake, connections may be unauthenticated.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Unauthenticated users could access the AI chat service, consuming LLM API resources and potentially accessing organization-scoped data.</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JWT in the WebSocket connection handshake (query parameter or first message). Reject unauthenticated connections immediately.</w:t>
            </w:r>
          </w:p>
        </w:tc>
      </w:tr>
    </w:tbl>
    <w:p>
      <w:pPr>
        <w:pStyle w:val="Heading2"/>
        <w:spacing w:before="300" w:after="150"/>
      </w:pPr>
      <w:r>
        <w:rPr>
          <w:rFonts w:ascii="Arial" w:cs="Arial" w:eastAsia="Arial" w:hAnsi="Arial"/>
        </w:rPr>
        <w:t xml:space="preserve">SEC-009: MD5 Used for Cache Keys (Collision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AICache._make_key() (ai_service.py line 49) uses hashlib.md5 for cache key generation. MD5 is cryptographically broken with known collision attacks.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poisoning via MD5 collisions. An attacker who can craft two different prompts with the same MD5 hash could serve stale or manipulated AI responses.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MD5 with SHA-256 for cache key generation. While collision risk is theoretical here, using a broken hash algorithm in a security-sensitive application is a code smell that signals poor security practices.</w:t>
            </w:r>
          </w:p>
        </w:tc>
      </w:tr>
    </w:tbl>
    <w:p>
      <w:pPr>
        <w:pStyle w:val="Heading2"/>
        <w:spacing w:before="300" w:after="150"/>
      </w:pPr>
      <w:r>
        <w:rPr>
          <w:rFonts w:ascii="Arial" w:cs="Arial" w:eastAsia="Arial" w:hAnsi="Arial"/>
        </w:rPr>
        <w:t xml:space="preserve">SEC-010: AI Cache Has No Size Bound (Memory 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in-memory AICache (ai_service.py) has no maximum size limit. The dictionary grows unbounded as unique prompts are cached. No eviction strategy exists beyond TTL expiry.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Attackers can exhaust server memory by sending many unique AI requests, each cached until TTL expires. This is a denial-of-service vector.</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maximum cache size with LRU eviction (e.g., functools.lru_cache or cachetools.TTLCache with maxsize). Consider Redis for production caching.</w:t>
            </w:r>
          </w:p>
        </w:tc>
      </w:tr>
    </w:tbl>
    <w:p>
      <w:pPr>
        <w:pStyle w:val="Heading2"/>
        <w:spacing w:before="300" w:after="150"/>
      </w:pPr>
      <w:r>
        <w:rPr>
          <w:rFonts w:ascii="Arial" w:cs="Arial" w:eastAsia="Arial" w:hAnsi="Arial"/>
        </w:rPr>
        <w:t xml:space="preserve">SEC-011: Health Endpoint Leaks Database Error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/health endpoint (main.py line 175) exposes raw database error messages: db_error = str(e). This can reveal database type, connection strings, and internal paths.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Information disclosure that aids attackers in crafting targeted attacks. Database error messages may contain credentials or internal network topology.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the full error server-side. Return only "database: unhealthy" to clients. Never expose exception messages in API responses.</w:t>
            </w:r>
          </w:p>
        </w:tc>
      </w:tr>
    </w:tbl>
    <w:p>
      <w:pPr>
        <w:pStyle w:val="Heading2"/>
        <w:spacing w:before="300" w:after="150"/>
      </w:pPr>
      <w:r>
        <w:rPr>
          <w:rFonts w:ascii="Arial" w:cs="Arial" w:eastAsia="Arial" w:hAnsi="Arial"/>
        </w:rPr>
        <w:t xml:space="preserve">SEC-012: CORS Allows All Methods and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CORS_ALLOW_METHODS and CORS_ALLOW_HEADERS are both set to ["*"] (config.py lines 51-52). This is overly permissive.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Enables cross-origin requests with any HTTP method and any custom header, expanding the attack surface for CORS-based attacks.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Restrict to only the HTTP methods actually used (GET, POST, PATCH, DELETE, OPTIONS) and only required headers (Authorization, Content-Type).</w:t>
            </w:r>
          </w:p>
        </w:tc>
      </w:tr>
    </w:tbl>
    <w:p>
      <w:pPr>
        <w:pStyle w:val="Heading2"/>
        <w:spacing w:before="300" w:after="150"/>
      </w:pPr>
      <w:r>
        <w:rPr>
          <w:rFonts w:ascii="Arial" w:cs="Arial" w:eastAsia="Arial" w:hAnsi="Arial"/>
        </w:rPr>
        <w:t xml:space="preserve">SEC-013: OpenAI/Anthropic Providers Silently Fall Back to Mock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AIService._init_provider() (ai_service.py lines 764-767), when AI_PROVIDER is set to "openai" or "anthropic" with valid API keys, the code still initializes MockAIProvider instead of an actual provider implementation.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who configure OpenAI or Anthropic receive mock/fake AI responses without any indication. This is a silent data integrity failure that undermines trust.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implement actual OpenAI/Anthropic providers or raise a clear error if an unconfigured provider is selected. Never silently degrade to mock in production.</w:t>
            </w:r>
          </w:p>
        </w:tc>
      </w:tr>
    </w:tbl>
    <w:p>
      <w:pPr>
        <w:pStyle w:val="Heading2"/>
        <w:spacing w:before="300" w:after="150"/>
      </w:pPr>
      <w:r>
        <w:rPr>
          <w:rFonts w:ascii="Arial" w:cs="Arial" w:eastAsia="Arial" w:hAnsi="Arial"/>
        </w:rPr>
        <w:t xml:space="preserve">SEC-014: No Account Lockout After Failed Login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9A825"/>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While AccountLockedException exists in the exception classes, there is no implementation of login attempt tracking or account lockout logic in auth_service.py.</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Combined with the lack of rate limiting (SEC-002), this allows unlimited brute-force attempts against any account without triggering any defensive mechanism.</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progressive lockout: after 5 failed attempts, lock for 15 minutes. After 10, lock for 1 hour. Notify users of failed login attempts via email.</w:t>
            </w:r>
          </w:p>
        </w:tc>
      </w:tr>
    </w:tbl>
    <w:p>
      <w:pPr>
        <w:pStyle w:val="Heading2"/>
        <w:spacing w:before="300" w:after="150"/>
      </w:pPr>
      <w:r>
        <w:rPr>
          <w:rFonts w:ascii="Arial" w:cs="Arial" w:eastAsia="Arial" w:hAnsi="Arial"/>
        </w:rPr>
        <w:t xml:space="preserve">SEC-015: DEBUG and RELOAD Enabled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config.py defaults: DEBUG=False but RELOAD=True. Reload mode in production can cause performance issues and expose internal state during code reloading.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 information disclosure and performance degradation if deployed without explicitly setting RELOAD=False.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RELOAD default to False. Add RELOAD check to validate_production_settings().</w:t>
            </w:r>
          </w:p>
        </w:tc>
      </w:tr>
    </w:tbl>
    <w:p>
      <w:pPr>
        <w:pStyle w:val="Heading2"/>
        <w:spacing w:before="300" w:after="150"/>
      </w:pPr>
      <w:r>
        <w:rPr>
          <w:rFonts w:ascii="Arial" w:cs="Arial" w:eastAsia="Arial" w:hAnsi="Arial"/>
        </w:rPr>
        <w:t xml:space="preserve">SEC-016: API Documentation Exposed Based on Environment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OpenAPI/Swagger docs are toggled solely by ENVIRONMENT setting (main.py lines 111-113). If ENVIRONMENT is not explicitly set to "production", docs are exposed.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documentation exposure aids reconnaissance. Attackers can discover all endpoints, schemas, and expected payloads.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docs to disabled. Require explicit opt-in. Consider IP-based access control for API documentation.</w:t>
            </w:r>
          </w:p>
        </w:tc>
      </w:tr>
    </w:tbl>
    <w:p>
      <w:pPr>
        <w:pStyle w:val="Heading2"/>
        <w:spacing w:before="300" w:after="150"/>
      </w:pPr>
      <w:r>
        <w:rPr>
          <w:rFonts w:ascii="Arial" w:cs="Arial" w:eastAsia="Arial" w:hAnsi="Arial"/>
        </w:rPr>
        <w:t xml:space="preserve">SEC-017: SQLite Used as Production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default database is SQLite (config.py line 38). SQLite is not designed for concurrent production workloads and lacks many security features of PostgreSQL/MySQL.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corruption under concurrent writes. No built-in encryption at rest. No row-level security. Limited audit capabilities.</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Remediation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PostgreSQL for production with: encryption at rest, connection pooling, row-level security, and proper backup strategies.</w:t>
            </w:r>
          </w:p>
        </w:tc>
      </w:tr>
    </w:tbl>
    <w:p>
      <w:r>
        <w:br w:type="page"/>
      </w:r>
    </w:p>
    <w:p>
      <w:pPr>
        <w:pStyle w:val="Heading1"/>
        <w:spacing w:before="300" w:after="150"/>
      </w:pPr>
      <w:r>
        <w:rPr>
          <w:rFonts w:ascii="Arial" w:cs="Arial" w:eastAsia="Arial" w:hAnsi="Arial"/>
        </w:rPr>
        <w:t xml:space="preserve">4. Architecture Security Assessment</w:t>
      </w:r>
    </w:p>
    <w:p>
      <w:pPr>
        <w:pStyle w:val="Heading2"/>
        <w:spacing w:before="300" w:after="150"/>
      </w:pPr>
      <w:r>
        <w:rPr>
          <w:rFonts w:ascii="Arial" w:cs="Arial" w:eastAsia="Arial" w:hAnsi="Arial"/>
        </w:rPr>
        <w:t xml:space="preserve">4.1 Authentication &amp; Authorization</w:t>
      </w:r>
    </w:p>
    <w:p>
      <w:pPr>
        <w:spacing w:after="120"/>
      </w:pPr>
      <w:r>
        <w:rPr>
          <w:rFonts w:ascii="Arial" w:cs="Arial" w:eastAsia="Arial" w:hAnsi="Arial"/>
          <w:sz w:val="22"/>
          <w:szCs w:val="22"/>
        </w:rPr>
        <w:t xml:space="preserve">Strengths: bcrypt password hashing with proper salt generation, JWT with typed tokens (access/refresh/reset/verification), comprehensive RBAC with 6 role levels, organization-scoped data isolation, consent-based access for AI monitoring features, API key generation with SHA-256 hashing and constant-time comparison.</w:t>
      </w:r>
    </w:p>
    <w:p>
      <w:pPr>
        <w:spacing w:after="120"/>
      </w:pPr>
      <w:r>
        <w:rPr>
          <w:rFonts w:ascii="Arial" w:cs="Arial" w:eastAsia="Arial" w:hAnsi="Arial"/>
          <w:sz w:val="22"/>
          <w:szCs w:val="22"/>
        </w:rPr>
        <w:t xml:space="preserve">Weaknesses: No rate limiting on any auth endpoint (SEC-002), no account lockout mechanism (SEC-014), hardcoded default secret key (SEC-001), tokens stored in localStorage (SEC-005), no CSRF protection (SEC-006).</w:t>
      </w:r>
    </w:p>
    <w:p>
      <w:pPr>
        <w:pStyle w:val="Heading2"/>
        <w:spacing w:before="300" w:after="150"/>
      </w:pPr>
      <w:r>
        <w:rPr>
          <w:rFonts w:ascii="Arial" w:cs="Arial" w:eastAsia="Arial" w:hAnsi="Arial"/>
        </w:rPr>
        <w:t xml:space="preserve">4.2 AI Service Security</w:t>
      </w:r>
    </w:p>
    <w:p>
      <w:pPr>
        <w:spacing w:after="120"/>
      </w:pPr>
      <w:r>
        <w:rPr>
          <w:rFonts w:ascii="Arial" w:cs="Arial" w:eastAsia="Arial" w:hAnsi="Arial"/>
          <w:sz w:val="22"/>
          <w:szCs w:val="22"/>
        </w:rPr>
        <w:t xml:space="preserve">Strengths: Provider abstraction allows switching between AI backends, cache layer reduces redundant API calls.</w:t>
      </w:r>
    </w:p>
    <w:p>
      <w:pPr>
        <w:spacing w:after="120"/>
      </w:pPr>
      <w:r>
        <w:rPr>
          <w:rFonts w:ascii="Arial" w:cs="Arial" w:eastAsia="Arial" w:hAnsi="Arial"/>
          <w:sz w:val="22"/>
          <w:szCs w:val="22"/>
        </w:rPr>
        <w:t xml:space="preserve">Weaknesses: Direct prompt injection vulnerability (SEC-004), false "0% hallucination" claim (SEC-003), no input sanitization before LLM calls, no output validation or grounding, silent fallback to mock provider (SEC-013), unbounded cache with no eviction (SEC-010), MD5 cache keys (SEC-009). The AI layer represents the highest concentration of security risk in the application.</w:t>
      </w:r>
    </w:p>
    <w:p>
      <w:pPr>
        <w:pStyle w:val="Heading2"/>
        <w:spacing w:before="300" w:after="150"/>
      </w:pPr>
      <w:r>
        <w:rPr>
          <w:rFonts w:ascii="Arial" w:cs="Arial" w:eastAsia="Arial" w:hAnsi="Arial"/>
        </w:rPr>
        <w:t xml:space="preserve">4.3 Data Layer</w:t>
      </w:r>
    </w:p>
    <w:p>
      <w:pPr>
        <w:spacing w:after="120"/>
      </w:pPr>
      <w:r>
        <w:rPr>
          <w:rFonts w:ascii="Arial" w:cs="Arial" w:eastAsia="Arial" w:hAnsi="Arial"/>
          <w:sz w:val="22"/>
          <w:szCs w:val="22"/>
        </w:rPr>
        <w:t xml:space="preserve">Strengths: SQLAlchemy ORM prevents SQL injection, parameterized queries throughout, foreign key enforcement enabled, WAL mode for better SQLite concurrency, organization-scoped queries preventing cross-tenant data access.</w:t>
      </w:r>
    </w:p>
    <w:p>
      <w:pPr>
        <w:spacing w:after="120"/>
      </w:pPr>
      <w:r>
        <w:rPr>
          <w:rFonts w:ascii="Arial" w:cs="Arial" w:eastAsia="Arial" w:hAnsi="Arial"/>
          <w:sz w:val="22"/>
          <w:szCs w:val="22"/>
        </w:rPr>
        <w:t xml:space="preserve">Weaknesses: SQLite is unsuitable for production (SEC-017), no encryption at rest, no database connection encryption, auto-commit pattern in get_db() could leave transactions in unexpected states.</w:t>
      </w:r>
    </w:p>
    <w:p>
      <w:pPr>
        <w:pStyle w:val="Heading2"/>
        <w:spacing w:before="300" w:after="150"/>
      </w:pPr>
      <w:r>
        <w:rPr>
          <w:rFonts w:ascii="Arial" w:cs="Arial" w:eastAsia="Arial" w:hAnsi="Arial"/>
        </w:rPr>
        <w:t xml:space="preserve">4.4 Frontend Security</w:t>
      </w:r>
    </w:p>
    <w:p>
      <w:pPr>
        <w:spacing w:after="120"/>
      </w:pPr>
      <w:r>
        <w:rPr>
          <w:rFonts w:ascii="Arial" w:cs="Arial" w:eastAsia="Arial" w:hAnsi="Arial"/>
          <w:sz w:val="22"/>
          <w:szCs w:val="22"/>
        </w:rPr>
        <w:t xml:space="preserve">Strengths: Token refresh mechanism with proper queue handling, error handling that doesn't leak sensitive details, type-safe API client with Axios.</w:t>
      </w:r>
    </w:p>
    <w:p>
      <w:pPr>
        <w:spacing w:after="120"/>
      </w:pPr>
      <w:r>
        <w:rPr>
          <w:rFonts w:ascii="Arial" w:cs="Arial" w:eastAsia="Arial" w:hAnsi="Arial"/>
          <w:sz w:val="22"/>
          <w:szCs w:val="22"/>
        </w:rPr>
        <w:t xml:space="preserve">Weaknesses: Tokens in localStorage (SEC-005), no CSRF protection (SEC-006), no Content Security Policy headers detected, no subresource integrity on third-party scripts.</w:t>
      </w:r>
    </w:p>
    <w:p>
      <w:r>
        <w:br w:type="page"/>
      </w:r>
    </w:p>
    <w:p>
      <w:pPr>
        <w:pStyle w:val="Heading1"/>
        <w:spacing w:before="300" w:after="150"/>
      </w:pPr>
      <w:r>
        <w:rPr>
          <w:rFonts w:ascii="Arial" w:cs="Arial" w:eastAsia="Arial" w:hAnsi="Arial"/>
        </w:rPr>
        <w:t xml:space="preserve">5. Prioritized Remediation Roadmap</w:t>
      </w:r>
    </w:p>
    <w:p>
      <w:pPr>
        <w:pStyle w:val="Heading2"/>
        <w:spacing w:before="300" w:after="150"/>
      </w:pPr>
      <w:r>
        <w:rPr>
          <w:rFonts w:ascii="Arial" w:cs="Arial" w:eastAsia="Arial" w:hAnsi="Arial"/>
        </w:rPr>
        <w:t xml:space="preserve">5.1 Immediate (Before Any Deployment)</w:t>
      </w:r>
    </w:p>
    <w:p>
      <w:pPr>
        <w:pStyle w:val="ListParagraph"/>
        <w:numPr>
          <w:ilvl w:val="0"/>
          <w:numId w:val="2"/>
        </w:numPr>
      </w:pPr>
      <w:r>
        <w:rPr>
          <w:rFonts w:ascii="Arial" w:cs="Arial" w:eastAsia="Arial" w:hAnsi="Arial"/>
          <w:sz w:val="22"/>
          <w:szCs w:val="22"/>
        </w:rPr>
        <w:t xml:space="preserve">SEC-001: Remove default SECRET_KEY. Require via environment variable with startup validation.</w:t>
      </w:r>
    </w:p>
    <w:p>
      <w:pPr>
        <w:pStyle w:val="ListParagraph"/>
        <w:numPr>
          <w:ilvl w:val="0"/>
          <w:numId w:val="2"/>
        </w:numPr>
      </w:pPr>
      <w:r>
        <w:rPr>
          <w:rFonts w:ascii="Arial" w:cs="Arial" w:eastAsia="Arial" w:hAnsi="Arial"/>
          <w:sz w:val="22"/>
          <w:szCs w:val="22"/>
        </w:rPr>
        <w:t xml:space="preserve">SEC-002: Implement rate limiting on all auth and AI endpoints using slowapi.</w:t>
      </w:r>
    </w:p>
    <w:p>
      <w:pPr>
        <w:pStyle w:val="ListParagraph"/>
        <w:numPr>
          <w:ilvl w:val="0"/>
          <w:numId w:val="2"/>
        </w:numPr>
      </w:pPr>
      <w:r>
        <w:rPr>
          <w:rFonts w:ascii="Arial" w:cs="Arial" w:eastAsia="Arial" w:hAnsi="Arial"/>
          <w:sz w:val="22"/>
          <w:szCs w:val="22"/>
        </w:rPr>
        <w:t xml:space="preserve">SEC-003: Remove "0% hallucination" claim from all documentation and UI.</w:t>
      </w:r>
    </w:p>
    <w:p>
      <w:pPr>
        <w:pStyle w:val="Heading2"/>
        <w:spacing w:before="300" w:after="150"/>
      </w:pPr>
      <w:r>
        <w:rPr>
          <w:rFonts w:ascii="Arial" w:cs="Arial" w:eastAsia="Arial" w:hAnsi="Arial"/>
        </w:rPr>
        <w:t xml:space="preserve">5.2 Before Production (Sprint 1)</w:t>
      </w:r>
    </w:p>
    <w:p>
      <w:pPr>
        <w:pStyle w:val="ListParagraph"/>
        <w:numPr>
          <w:ilvl w:val="0"/>
          <w:numId w:val="2"/>
        </w:numPr>
      </w:pPr>
      <w:r>
        <w:rPr>
          <w:rFonts w:ascii="Arial" w:cs="Arial" w:eastAsia="Arial" w:hAnsi="Arial"/>
          <w:sz w:val="22"/>
          <w:szCs w:val="22"/>
        </w:rPr>
        <w:t xml:space="preserve">SEC-004: Implement prompt injection defenses with input sanitization and output validation.</w:t>
      </w:r>
    </w:p>
    <w:p>
      <w:pPr>
        <w:pStyle w:val="ListParagraph"/>
        <w:numPr>
          <w:ilvl w:val="0"/>
          <w:numId w:val="2"/>
        </w:numPr>
      </w:pPr>
      <w:r>
        <w:rPr>
          <w:rFonts w:ascii="Arial" w:cs="Arial" w:eastAsia="Arial" w:hAnsi="Arial"/>
          <w:sz w:val="22"/>
          <w:szCs w:val="22"/>
        </w:rPr>
        <w:t xml:space="preserve">SEC-005: Migrate token storage to httpOnly cookies.</w:t>
      </w:r>
    </w:p>
    <w:p>
      <w:pPr>
        <w:pStyle w:val="ListParagraph"/>
        <w:numPr>
          <w:ilvl w:val="0"/>
          <w:numId w:val="2"/>
        </w:numPr>
      </w:pPr>
      <w:r>
        <w:rPr>
          <w:rFonts w:ascii="Arial" w:cs="Arial" w:eastAsia="Arial" w:hAnsi="Arial"/>
          <w:sz w:val="22"/>
          <w:szCs w:val="22"/>
        </w:rPr>
        <w:t xml:space="preserve">SEC-006: Add CSRF protection (SameSite cookies or token-based).</w:t>
      </w:r>
    </w:p>
    <w:p>
      <w:pPr>
        <w:pStyle w:val="ListParagraph"/>
        <w:numPr>
          <w:ilvl w:val="0"/>
          <w:numId w:val="2"/>
        </w:numPr>
      </w:pPr>
      <w:r>
        <w:rPr>
          <w:rFonts w:ascii="Arial" w:cs="Arial" w:eastAsia="Arial" w:hAnsi="Arial"/>
          <w:sz w:val="22"/>
          <w:szCs w:val="22"/>
        </w:rPr>
        <w:t xml:space="preserve">SEC-007: Enforce file upload size limits and extension validation.</w:t>
      </w:r>
    </w:p>
    <w:p>
      <w:pPr>
        <w:pStyle w:val="ListParagraph"/>
        <w:numPr>
          <w:ilvl w:val="0"/>
          <w:numId w:val="2"/>
        </w:numPr>
      </w:pPr>
      <w:r>
        <w:rPr>
          <w:rFonts w:ascii="Arial" w:cs="Arial" w:eastAsia="Arial" w:hAnsi="Arial"/>
          <w:sz w:val="22"/>
          <w:szCs w:val="22"/>
        </w:rPr>
        <w:t xml:space="preserve">SEC-008: Add WebSocket authentication.</w:t>
      </w:r>
    </w:p>
    <w:p>
      <w:pPr>
        <w:pStyle w:val="Heading2"/>
        <w:spacing w:before="300" w:after="150"/>
      </w:pPr>
      <w:r>
        <w:rPr>
          <w:rFonts w:ascii="Arial" w:cs="Arial" w:eastAsia="Arial" w:hAnsi="Arial"/>
        </w:rPr>
        <w:t xml:space="preserve">5.3 Next Sprint (Sprint 2)</w:t>
      </w:r>
    </w:p>
    <w:p>
      <w:pPr>
        <w:pStyle w:val="ListParagraph"/>
        <w:numPr>
          <w:ilvl w:val="0"/>
          <w:numId w:val="2"/>
        </w:numPr>
      </w:pPr>
      <w:r>
        <w:rPr>
          <w:rFonts w:ascii="Arial" w:cs="Arial" w:eastAsia="Arial" w:hAnsi="Arial"/>
          <w:sz w:val="22"/>
          <w:szCs w:val="22"/>
        </w:rPr>
        <w:t xml:space="preserve">SEC-009 through SEC-014: Fix cache security, information leaks, CORS tightening, silent provider fallback, and account lockout.</w:t>
      </w:r>
    </w:p>
    <w:p>
      <w:pPr>
        <w:pStyle w:val="Heading2"/>
        <w:spacing w:before="300" w:after="150"/>
      </w:pPr>
      <w:r>
        <w:rPr>
          <w:rFonts w:ascii="Arial" w:cs="Arial" w:eastAsia="Arial" w:hAnsi="Arial"/>
        </w:rPr>
        <w:t xml:space="preserve">5.4 Backlog</w:t>
      </w:r>
    </w:p>
    <w:p>
      <w:pPr>
        <w:pStyle w:val="ListParagraph"/>
        <w:numPr>
          <w:ilvl w:val="0"/>
          <w:numId w:val="2"/>
        </w:numPr>
      </w:pPr>
      <w:r>
        <w:rPr>
          <w:rFonts w:ascii="Arial" w:cs="Arial" w:eastAsia="Arial" w:hAnsi="Arial"/>
          <w:sz w:val="22"/>
          <w:szCs w:val="22"/>
        </w:rPr>
        <w:t xml:space="preserve">SEC-015 through SEC-017: Harden defaults, API docs access control, migrate to PostgreSQL.</w:t>
      </w:r>
    </w:p>
    <w:p>
      <w:pPr>
        <w:pBdr>
          <w:top w:val="single" w:color="1B2A4A" w:sz="4" w:space="8"/>
        </w:pBdr>
        <w:spacing w:before="400"/>
      </w:pPr>
    </w:p>
    <w:p>
      <w:pPr>
        <w:spacing w:after="120"/>
      </w:pPr>
      <w:r>
        <w:rPr>
          <w:rFonts w:ascii="Arial" w:cs="Arial" w:eastAsia="Arial" w:hAnsi="Arial"/>
          <w:i/>
          <w:iCs/>
          <w:color w:val="666666"/>
          <w:sz w:val="22"/>
          <w:szCs w:val="22"/>
        </w:rPr>
        <w:t xml:space="preserve">This report is generated from static code analysis of the TaskPulse AI Assistant codebase. It does not include dynamic penetration testing, dependency vulnerability scanning, or infrastructure assessment. A follow-up engagement is recommended to cover these areas.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jc w:val="right"/>
    </w:pPr>
    <w:r>
      <w:rPr>
        <w:rFonts w:ascii="Arial" w:cs="Arial" w:eastAsia="Arial" w:hAnsi="Arial"/>
        <w:i/>
        <w:iCs/>
        <w:color w:val="888888"/>
        <w:sz w:val="18"/>
        <w:szCs w:val="18"/>
      </w:rPr>
      <w:t xml:space="preserve">CONFIDENTIAL — TaskPulse AI Security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2026-02-16T09:03:29.072Z</dcterms:created>
  <dcterms:modified xsi:type="dcterms:W3CDTF">2026-02-16T09:03:29.072Z</dcterms:modified>
</cp:coreProperties>
</file>

<file path=docProps/custom.xml><?xml version="1.0" encoding="utf-8"?>
<Properties xmlns="http://schemas.openxmlformats.org/officeDocument/2006/custom-properties" xmlns:vt="http://schemas.openxmlformats.org/officeDocument/2006/docPropsVTypes"/>
</file>