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005BA6"/>
          <w:sz w:val="52"/>
        </w:rPr>
        <w:t>Bitcot</w:t>
      </w:r>
    </w:p>
    <w:p>
      <w:pPr>
        <w:pStyle w:val="Heading2"/>
        <w:jc w:val="center"/>
      </w:pPr>
      <w:r>
        <w:rPr>
          <w:color w:val="1A1A2E"/>
        </w:rPr>
        <w:t>Android &amp; iOS Engineer Assessment</w:t>
      </w:r>
    </w:p>
    <w:p/>
    <w:p>
      <w:pPr>
        <w:jc w:val="center"/>
      </w:pPr>
      <w:r>
        <w:rPr>
          <w:color w:val="555555"/>
        </w:rPr>
        <w:t>Mobile Sync Engine  ·  Take-Home Assessment</w:t>
      </w:r>
    </w:p>
    <w:p>
      <w:r>
        <w:br w:type="page"/>
      </w:r>
    </w:p>
    <w:p>
      <w:pPr>
        <w:pStyle w:val="Heading1"/>
      </w:pPr>
      <w:r>
        <w:rPr>
          <w:color w:val="005BA6"/>
        </w:rPr>
        <w:t>Overview</w:t>
      </w:r>
    </w:p>
    <w:tbl>
      <w:tblPr>
        <w:tblStyle w:val="TableGrid"/>
        <w:tblW w:type="auto" w:w="0"/>
        <w:tblLook w:firstColumn="1" w:firstRow="1" w:lastColumn="0" w:lastRow="0" w:noHBand="0" w:noVBand="1" w:val="04A0"/>
      </w:tblPr>
      <w:tblGrid>
        <w:gridCol w:w="4392"/>
        <w:gridCol w:w="4392"/>
      </w:tblGrid>
      <w:tr>
        <w:tc>
          <w:tcPr>
            <w:tcW w:type="dxa" w:w="4392"/>
          </w:tcPr>
          <w:p>
            <w:r>
              <w:rPr>
                <w:b/>
              </w:rPr>
              <w:t>Estimated effort</w:t>
            </w:r>
          </w:p>
        </w:tc>
        <w:tc>
          <w:tcPr>
            <w:tcW w:type="dxa" w:w="4392"/>
          </w:tcPr>
          <w:p>
            <w:r>
              <w:t>3.5 hours of focused work</w:t>
            </w:r>
          </w:p>
        </w:tc>
      </w:tr>
      <w:tr>
        <w:tc>
          <w:tcPr>
            <w:tcW w:type="dxa" w:w="4392"/>
          </w:tcPr>
          <w:p>
            <w:r>
              <w:rPr>
                <w:b/>
              </w:rPr>
              <w:t>Deadline</w:t>
            </w:r>
          </w:p>
        </w:tc>
        <w:tc>
          <w:tcPr>
            <w:tcW w:type="dxa" w:w="4392"/>
          </w:tcPr>
          <w:p>
            <w:r>
              <w:t>5 business days from receipt — email us if you need an extension</w:t>
            </w:r>
          </w:p>
        </w:tc>
      </w:tr>
      <w:tr>
        <w:tc>
          <w:tcPr>
            <w:tcW w:type="dxa" w:w="4392"/>
          </w:tcPr>
          <w:p>
            <w:r>
              <w:rPr>
                <w:b/>
              </w:rPr>
              <w:t>Language</w:t>
            </w:r>
          </w:p>
        </w:tc>
        <w:tc>
          <w:tcPr>
            <w:tcW w:type="dxa" w:w="4392"/>
          </w:tcPr>
          <w:p>
            <w:r>
              <w:t>Kotlin (Android)  or  Swift (iOS) — pick one</w:t>
            </w:r>
          </w:p>
        </w:tc>
      </w:tr>
      <w:tr>
        <w:tc>
          <w:tcPr>
            <w:tcW w:type="dxa" w:w="4392"/>
          </w:tcPr>
          <w:p>
            <w:r>
              <w:rPr>
                <w:b/>
              </w:rPr>
              <w:t>AI tools</w:t>
            </w:r>
          </w:p>
        </w:tc>
        <w:tc>
          <w:tcPr>
            <w:tcW w:type="dxa" w:w="4392"/>
          </w:tcPr>
          <w:p>
            <w:r>
              <w:t>Allowed — disclose every prompt and outcome in AI_USAGE.md</w:t>
            </w:r>
          </w:p>
        </w:tc>
      </w:tr>
    </w:tbl>
    <w:p/>
    <w:p>
      <w:r>
        <w:t>You are building the offline-first sync layer for a mobile CRM app. When the device reconnects to the network, local edits made while offline must be reconciled with changes the server processed during the same window. You are given two event streams per case — local device events and remote server events — and must produce three deterministic JSON reports per case.</w:t>
      </w:r>
    </w:p>
    <w:p/>
    <w:p>
      <w:pPr>
        <w:pStyle w:val="Heading2"/>
      </w:pPr>
      <w:r>
        <w:rPr>
          <w:color w:val="1A1A2E"/>
        </w:rPr>
        <w:t>Input (per case, under dataset/&lt;case_id&gt;/)</w:t>
      </w:r>
    </w:p>
    <w:tbl>
      <w:tblPr>
        <w:tblStyle w:val="TableGrid"/>
        <w:tblW w:type="auto" w:w="0"/>
        <w:tblLook w:firstColumn="1" w:firstRow="1" w:lastColumn="0" w:lastRow="0" w:noHBand="0" w:noVBand="1" w:val="04A0"/>
      </w:tblPr>
      <w:tblGrid>
        <w:gridCol w:w="4392"/>
        <w:gridCol w:w="4392"/>
      </w:tblGrid>
      <w:tr>
        <w:tc>
          <w:tcPr>
            <w:tcW w:type="dxa" w:w="4392"/>
            <w:shd w:val="clear" w:color="auto" w:fill="005BA6"/>
          </w:tcPr>
          <w:p>
            <w:r>
              <w:rPr>
                <w:b/>
                <w:color w:val="FFFFFF"/>
              </w:rPr>
              <w:t>File</w:t>
            </w:r>
          </w:p>
        </w:tc>
        <w:tc>
          <w:tcPr>
            <w:tcW w:type="dxa" w:w="4392"/>
            <w:shd w:val="clear" w:color="auto" w:fill="005BA6"/>
          </w:tcPr>
          <w:p>
            <w:r>
              <w:rPr>
                <w:b/>
                <w:color w:val="FFFFFF"/>
              </w:rPr>
              <w:t>Description</w:t>
            </w:r>
          </w:p>
        </w:tc>
      </w:tr>
      <w:tr>
        <w:tc>
          <w:tcPr>
            <w:tcW w:type="dxa" w:w="4392"/>
          </w:tcPr>
          <w:p>
            <w:r>
              <w:rPr>
                <w:rFonts w:ascii="Courier New" w:hAnsi="Courier New"/>
              </w:rPr>
              <w:t>local_events.json</w:t>
            </w:r>
          </w:p>
        </w:tc>
        <w:tc>
          <w:tcPr>
            <w:tcW w:type="dxa" w:w="4392"/>
          </w:tcPr>
          <w:p>
            <w:r>
              <w:t>Array of events from the device</w:t>
            </w:r>
          </w:p>
        </w:tc>
      </w:tr>
      <w:tr>
        <w:tc>
          <w:tcPr>
            <w:tcW w:type="dxa" w:w="4392"/>
          </w:tcPr>
          <w:p>
            <w:r>
              <w:rPr>
                <w:rFonts w:ascii="Courier New" w:hAnsi="Courier New"/>
              </w:rPr>
              <w:t>remote_events.json</w:t>
            </w:r>
          </w:p>
        </w:tc>
        <w:tc>
          <w:tcPr>
            <w:tcW w:type="dxa" w:w="4392"/>
          </w:tcPr>
          <w:p>
            <w:r>
              <w:t>Array of events from the server</w:t>
            </w:r>
          </w:p>
        </w:tc>
      </w:tr>
      <w:tr>
        <w:tc>
          <w:tcPr>
            <w:tcW w:type="dxa" w:w="4392"/>
          </w:tcPr>
          <w:p>
            <w:r>
              <w:rPr>
                <w:rFonts w:ascii="Courier New" w:hAnsi="Courier New"/>
              </w:rPr>
              <w:t>sync_rules.json</w:t>
            </w:r>
          </w:p>
        </w:tc>
        <w:tc>
          <w:tcPr>
            <w:tcW w:type="dxa" w:w="4392"/>
          </w:tcPr>
          <w:p>
            <w:r>
              <w:t>Conflict-resolution parameters (authoritative)</w:t>
            </w:r>
          </w:p>
        </w:tc>
      </w:tr>
      <w:tr>
        <w:tc>
          <w:tcPr>
            <w:tcW w:type="dxa" w:w="4392"/>
          </w:tcPr>
          <w:p>
            <w:r>
              <w:rPr>
                <w:rFonts w:ascii="Courier New" w:hAnsi="Courier New"/>
              </w:rPr>
              <w:t>README.md</w:t>
            </w:r>
          </w:p>
        </w:tc>
        <w:tc>
          <w:tcPr>
            <w:tcW w:type="dxa" w:w="4392"/>
          </w:tcPr>
          <w:p>
            <w:r>
              <w:t>Case description: entity count, known patterns</w:t>
            </w:r>
          </w:p>
        </w:tc>
      </w:tr>
    </w:tbl>
    <w:p/>
    <w:p>
      <w:pPr>
        <w:pStyle w:val="Heading3"/>
      </w:pPr>
      <w:r>
        <w:rPr>
          <w:color w:val="1A1A2E"/>
        </w:rPr>
        <w:t>Event schema</w:t>
      </w:r>
    </w:p>
    <w:p>
      <w:pPr>
        <w:ind w:left="576"/>
      </w:pPr>
      <w:r>
        <w:rPr>
          <w:rFonts w:ascii="Courier New" w:hAnsi="Courier New"/>
          <w:color w:val="333333"/>
          <w:sz w:val="18"/>
        </w:rPr>
        <w:t>{</w:t>
        <w:br/>
        <w:t xml:space="preserve">  "event_id":  "evt-0001",</w:t>
        <w:br/>
        <w:t xml:space="preserve">  "entity_id": "contact-001",</w:t>
        <w:br/>
        <w:t xml:space="preserve">  "field":     "phone",</w:t>
        <w:br/>
        <w:t xml:space="preserve">  "value":     "+1-555-0101",</w:t>
        <w:br/>
        <w:t xml:space="preserve">  "timestamp": "2024-01-15T10:30:00Z",</w:t>
        <w:br/>
        <w:t xml:space="preserve">  "source":    "local",</w:t>
        <w:br/>
        <w:t xml:space="preserve">  "device_id": "device-001",</w:t>
        <w:br/>
        <w:t xml:space="preserve">  "seq":       42</w:t>
        <w:br/>
        <w:t>}</w:t>
      </w:r>
    </w:p>
    <w:tbl>
      <w:tblPr>
        <w:tblStyle w:val="TableGrid"/>
        <w:tblW w:type="auto" w:w="0"/>
        <w:tblLook w:firstColumn="1" w:firstRow="1" w:lastColumn="0" w:lastRow="0" w:noHBand="0" w:noVBand="1" w:val="04A0"/>
      </w:tblPr>
      <w:tblGrid>
        <w:gridCol w:w="4392"/>
        <w:gridCol w:w="4392"/>
      </w:tblGrid>
      <w:tr>
        <w:tc>
          <w:tcPr>
            <w:tcW w:type="dxa" w:w="4392"/>
            <w:shd w:val="clear" w:color="auto" w:fill="005BA6"/>
          </w:tcPr>
          <w:p>
            <w:r>
              <w:rPr>
                <w:b/>
                <w:color w:val="FFFFFF"/>
              </w:rPr>
              <w:t>Field</w:t>
            </w:r>
          </w:p>
        </w:tc>
        <w:tc>
          <w:tcPr>
            <w:tcW w:type="dxa" w:w="4392"/>
            <w:shd w:val="clear" w:color="auto" w:fill="005BA6"/>
          </w:tcPr>
          <w:p>
            <w:r>
              <w:rPr>
                <w:b/>
                <w:color w:val="FFFFFF"/>
              </w:rPr>
              <w:t>Constraints</w:t>
            </w:r>
          </w:p>
        </w:tc>
      </w:tr>
      <w:tr>
        <w:tc>
          <w:tcPr>
            <w:tcW w:type="dxa" w:w="4392"/>
          </w:tcPr>
          <w:p>
            <w:r>
              <w:rPr>
                <w:rFonts w:ascii="Courier New" w:hAnsi="Courier New"/>
              </w:rPr>
              <w:t>field</w:t>
            </w:r>
          </w:p>
        </w:tc>
        <w:tc>
          <w:tcPr>
            <w:tcW w:type="dxa" w:w="4392"/>
          </w:tcPr>
          <w:p>
            <w:r>
              <w:t>∈ {"name", "phone", "email", "address", "deleted"}</w:t>
            </w:r>
          </w:p>
        </w:tc>
      </w:tr>
      <w:tr>
        <w:tc>
          <w:tcPr>
            <w:tcW w:type="dxa" w:w="4392"/>
          </w:tcPr>
          <w:p>
            <w:r>
              <w:rPr>
                <w:rFonts w:ascii="Courier New" w:hAnsi="Courier New"/>
              </w:rPr>
              <w:t>value</w:t>
            </w:r>
          </w:p>
        </w:tc>
        <w:tc>
          <w:tcPr>
            <w:tcW w:type="dxa" w:w="4392"/>
          </w:tcPr>
          <w:p>
            <w:r>
              <w:t>Always a string. For field="deleted", "true" means deleted.</w:t>
            </w:r>
          </w:p>
        </w:tc>
      </w:tr>
      <w:tr>
        <w:tc>
          <w:tcPr>
            <w:tcW w:type="dxa" w:w="4392"/>
          </w:tcPr>
          <w:p>
            <w:r>
              <w:rPr>
                <w:rFonts w:ascii="Courier New" w:hAnsi="Courier New"/>
              </w:rPr>
              <w:t>timestamp</w:t>
            </w:r>
          </w:p>
        </w:tc>
        <w:tc>
          <w:tcPr>
            <w:tcW w:type="dxa" w:w="4392"/>
          </w:tcPr>
          <w:p>
            <w:r>
              <w:t>ISO 8601 UTC, seconds precision</w:t>
            </w:r>
          </w:p>
        </w:tc>
      </w:tr>
      <w:tr>
        <w:tc>
          <w:tcPr>
            <w:tcW w:type="dxa" w:w="4392"/>
          </w:tcPr>
          <w:p>
            <w:r>
              <w:rPr>
                <w:rFonts w:ascii="Courier New" w:hAnsi="Courier New"/>
              </w:rPr>
              <w:t>source</w:t>
            </w:r>
          </w:p>
        </w:tc>
        <w:tc>
          <w:tcPr>
            <w:tcW w:type="dxa" w:w="4392"/>
          </w:tcPr>
          <w:p>
            <w:r>
              <w:t>∈ {"local", "remote"}</w:t>
            </w:r>
          </w:p>
        </w:tc>
      </w:tr>
    </w:tbl>
    <w:p/>
    <w:p>
      <w:pPr>
        <w:pStyle w:val="Heading3"/>
      </w:pPr>
      <w:r>
        <w:rPr>
          <w:color w:val="1A1A2E"/>
        </w:rPr>
        <w:t>sync_rules.json</w:t>
      </w:r>
    </w:p>
    <w:p>
      <w:pPr>
        <w:ind w:left="576"/>
      </w:pPr>
      <w:r>
        <w:rPr>
          <w:rFonts w:ascii="Courier New" w:hAnsi="Courier New"/>
          <w:color w:val="333333"/>
          <w:sz w:val="18"/>
        </w:rPr>
        <w:t>{</w:t>
        <w:br/>
        <w:t xml:space="preserve">  "conflict_strategy":            "last_write_wins",</w:t>
        <w:br/>
        <w:t xml:space="preserve">  "tie_breaker":                  "remote_wins",</w:t>
        <w:br/>
        <w:t xml:space="preserve">  "tombstone_ttl_seconds":        86400,</w:t>
        <w:br/>
        <w:t xml:space="preserve">  "clock_skew_tolerance_seconds": 30</w:t>
        <w:br/>
        <w:t>}</w:t>
      </w:r>
    </w:p>
    <w:tbl>
      <w:tblPr>
        <w:tblStyle w:val="TableGrid"/>
        <w:tblW w:type="auto" w:w="0"/>
        <w:tblLook w:firstColumn="1" w:firstRow="1" w:lastColumn="0" w:lastRow="0" w:noHBand="0" w:noVBand="1" w:val="04A0"/>
      </w:tblPr>
      <w:tblGrid>
        <w:gridCol w:w="4392"/>
        <w:gridCol w:w="4392"/>
      </w:tblGrid>
      <w:tr>
        <w:tc>
          <w:tcPr>
            <w:tcW w:type="dxa" w:w="4392"/>
            <w:shd w:val="clear" w:color="auto" w:fill="005BA6"/>
          </w:tcPr>
          <w:p>
            <w:r>
              <w:rPr>
                <w:b/>
                <w:color w:val="FFFFFF"/>
              </w:rPr>
              <w:t>Field</w:t>
            </w:r>
          </w:p>
        </w:tc>
        <w:tc>
          <w:tcPr>
            <w:tcW w:type="dxa" w:w="4392"/>
            <w:shd w:val="clear" w:color="auto" w:fill="005BA6"/>
          </w:tcPr>
          <w:p>
            <w:r>
              <w:rPr>
                <w:b/>
                <w:color w:val="FFFFFF"/>
              </w:rPr>
              <w:t>Values</w:t>
            </w:r>
          </w:p>
        </w:tc>
      </w:tr>
      <w:tr>
        <w:tc>
          <w:tcPr>
            <w:tcW w:type="dxa" w:w="4392"/>
          </w:tcPr>
          <w:p>
            <w:r>
              <w:rPr>
                <w:rFonts w:ascii="Courier New" w:hAnsi="Courier New"/>
              </w:rPr>
              <w:t>conflict_strategy</w:t>
            </w:r>
          </w:p>
        </w:tc>
        <w:tc>
          <w:tcPr>
            <w:tcW w:type="dxa" w:w="4392"/>
          </w:tcPr>
          <w:p>
            <w:r>
              <w:t>"last_write_wins", "remote_wins", or "local_wins"</w:t>
            </w:r>
          </w:p>
        </w:tc>
      </w:tr>
      <w:tr>
        <w:tc>
          <w:tcPr>
            <w:tcW w:type="dxa" w:w="4392"/>
          </w:tcPr>
          <w:p>
            <w:r>
              <w:rPr>
                <w:rFonts w:ascii="Courier New" w:hAnsi="Courier New"/>
              </w:rPr>
              <w:t>tie_breaker</w:t>
            </w:r>
          </w:p>
        </w:tc>
        <w:tc>
          <w:tcPr>
            <w:tcW w:type="dxa" w:w="4392"/>
          </w:tcPr>
          <w:p>
            <w:r>
              <w:t>"remote_wins" or "local_wins" — used when timestamps are exactly equal</w:t>
            </w:r>
          </w:p>
        </w:tc>
      </w:tr>
    </w:tbl>
    <w:p>
      <w:r>
        <w:br w:type="page"/>
      </w:r>
    </w:p>
    <w:p>
      <w:pPr>
        <w:pStyle w:val="Heading1"/>
      </w:pPr>
      <w:r>
        <w:rPr>
          <w:color w:val="005BA6"/>
        </w:rPr>
        <w:t>The Algorithm (exact specification)</w:t>
      </w:r>
    </w:p>
    <w:p>
      <w:r>
        <w:t>Implement the following six steps exactly. Deviations are scored against the golden outputs.</w:t>
      </w:r>
    </w:p>
    <w:p>
      <w:r>
        <w:rPr>
          <w:b/>
        </w:rPr>
        <w:t>Step 1 — Deduplicate by event_id</w:t>
      </w:r>
    </w:p>
    <w:p>
      <w:r>
        <w:t>Build a merged event map. Process local events first, then remote. When the same event_id appears in both streams, the remote version overwrites the local version. Count each such collision as one duplicate dropped.</w:t>
      </w:r>
    </w:p>
    <w:p>
      <w:r>
        <w:rPr>
          <w:b/>
        </w:rPr>
        <w:t>Step 2 — Group by (entity_id, field)</w:t>
      </w:r>
    </w:p>
    <w:p>
      <w:r>
        <w:t>Partition the merged event map into groups, one per unique (entity_id, field) pair.</w:t>
      </w:r>
    </w:p>
    <w:p>
      <w:r>
        <w:rPr>
          <w:b/>
        </w:rPr>
        <w:t>Step 3 — Pick the winner per group</w:t>
      </w:r>
    </w:p>
    <w:p>
      <w:r>
        <w:t>For each group:</w:t>
        <w:br/>
        <w:t xml:space="preserve">  1. Split events into source="local" and source="remote".</w:t>
        <w:br/>
        <w:t xml:space="preserve">  2. Within each side, select the best event: latest timestamp; on a within-side tie, higher event_id lexicographically.</w:t>
        <w:br/>
        <w:t xml:space="preserve">  3. If both sides have a best event → conflict → apply conflict_strategy:</w:t>
        <w:br/>
        <w:t xml:space="preserve">       last_write_wins: remote later → remote wins; local later → local wins; equal → tie_breaker.</w:t>
        <w:br/>
        <w:t xml:space="preserve">       remote_wins: remote always wins regardless of timestamp.</w:t>
        <w:br/>
        <w:t xml:space="preserve">       local_wins: local always wins regardless of timestamp.</w:t>
        <w:br/>
        <w:t xml:space="preserve">  4. If only one side has events → no conflict; that side's best event wins.</w:t>
      </w:r>
    </w:p>
    <w:p>
      <w:r>
        <w:rPr>
          <w:b/>
        </w:rPr>
        <w:t>Step 4 — Build resolved_state.json</w:t>
      </w:r>
    </w:p>
    <w:p>
      <w:r>
        <w:t>For each entity (sorted by entity_id ASC):</w:t>
        <w:br/>
        <w:t xml:space="preserve">  • fields — map of field_name→winner.value for every field except "deleted".</w:t>
        <w:br/>
        <w:t xml:space="preserve">  • deleted — true if winner for field="deleted" has value="true", else false. Default false for entities with no deleted event.</w:t>
        <w:br/>
        <w:t xml:space="preserve">  • last_modified — timestamp of the winner with the latest timestamp across all fields (including deleted); on timestamp tie, highest event_id wins.</w:t>
        <w:br/>
        <w:t xml:space="preserve">  • last_source — source of that latest winner.</w:t>
      </w:r>
    </w:p>
    <w:p>
      <w:r>
        <w:rPr>
          <w:b/>
        </w:rPr>
        <w:t>Step 5 — Build sync_conflicts.json</w:t>
      </w:r>
    </w:p>
    <w:p>
      <w:r>
        <w:t>One record per conflict from Step 3. Sorted by (entity_id ASC, field ASC).</w:t>
      </w:r>
    </w:p>
    <w:p>
      <w:r>
        <w:rPr>
          <w:b/>
        </w:rPr>
        <w:t>Step 6 — Build sync_report.json</w:t>
      </w:r>
    </w:p>
    <w:p>
      <w:r>
        <w:t>See the field table on the next section.</w:t>
      </w:r>
    </w:p>
    <w:p>
      <w:pPr>
        <w:pStyle w:val="Heading3"/>
      </w:pPr>
      <w:r>
        <w:rPr>
          <w:color w:val="1A1A2E"/>
        </w:rPr>
        <w:t>sync_report.json fields</w:t>
      </w:r>
    </w:p>
    <w:tbl>
      <w:tblPr>
        <w:tblStyle w:val="TableGrid"/>
        <w:tblW w:type="auto" w:w="0"/>
        <w:tblLook w:firstColumn="1" w:firstRow="1" w:lastColumn="0" w:lastRow="0" w:noHBand="0" w:noVBand="1" w:val="04A0"/>
      </w:tblPr>
      <w:tblGrid>
        <w:gridCol w:w="4392"/>
        <w:gridCol w:w="4392"/>
      </w:tblGrid>
      <w:tr>
        <w:tc>
          <w:tcPr>
            <w:tcW w:type="dxa" w:w="4392"/>
            <w:shd w:val="clear" w:color="auto" w:fill="005BA6"/>
          </w:tcPr>
          <w:p>
            <w:r>
              <w:rPr>
                <w:b/>
                <w:color w:val="FFFFFF"/>
              </w:rPr>
              <w:t>Field</w:t>
            </w:r>
          </w:p>
        </w:tc>
        <w:tc>
          <w:tcPr>
            <w:tcW w:type="dxa" w:w="4392"/>
            <w:shd w:val="clear" w:color="auto" w:fill="005BA6"/>
          </w:tcPr>
          <w:p>
            <w:r>
              <w:rPr>
                <w:b/>
                <w:color w:val="FFFFFF"/>
              </w:rPr>
              <w:t>Definition</w:t>
            </w:r>
          </w:p>
        </w:tc>
      </w:tr>
      <w:tr>
        <w:tc>
          <w:tcPr>
            <w:tcW w:type="dxa" w:w="4392"/>
          </w:tcPr>
          <w:p>
            <w:r>
              <w:rPr>
                <w:rFonts w:ascii="Courier New" w:hAnsi="Courier New"/>
              </w:rPr>
              <w:t>total_entities</w:t>
            </w:r>
          </w:p>
        </w:tc>
        <w:tc>
          <w:tcPr>
            <w:tcW w:type="dxa" w:w="4392"/>
          </w:tcPr>
          <w:p>
            <w:r>
              <w:t>Unique entity_id values across both input streams</w:t>
            </w:r>
          </w:p>
        </w:tc>
      </w:tr>
      <w:tr>
        <w:tc>
          <w:tcPr>
            <w:tcW w:type="dxa" w:w="4392"/>
          </w:tcPr>
          <w:p>
            <w:r>
              <w:rPr>
                <w:rFonts w:ascii="Courier New" w:hAnsi="Courier New"/>
              </w:rPr>
              <w:t>entities_synced</w:t>
            </w:r>
          </w:p>
        </w:tc>
        <w:tc>
          <w:tcPr>
            <w:tcW w:type="dxa" w:w="4392"/>
          </w:tcPr>
          <w:p>
            <w:r>
              <w:t>total_entities − entities_deleted</w:t>
            </w:r>
          </w:p>
        </w:tc>
      </w:tr>
      <w:tr>
        <w:tc>
          <w:tcPr>
            <w:tcW w:type="dxa" w:w="4392"/>
          </w:tcPr>
          <w:p>
            <w:r>
              <w:rPr>
                <w:rFonts w:ascii="Courier New" w:hAnsi="Courier New"/>
              </w:rPr>
              <w:t>entities_deleted</w:t>
            </w:r>
          </w:p>
        </w:tc>
        <w:tc>
          <w:tcPr>
            <w:tcW w:type="dxa" w:w="4392"/>
          </w:tcPr>
          <w:p>
            <w:r>
              <w:t>Count where deleted=true in resolved_state</w:t>
            </w:r>
          </w:p>
        </w:tc>
      </w:tr>
      <w:tr>
        <w:tc>
          <w:tcPr>
            <w:tcW w:type="dxa" w:w="4392"/>
          </w:tcPr>
          <w:p>
            <w:r>
              <w:rPr>
                <w:rFonts w:ascii="Courier New" w:hAnsi="Courier New"/>
              </w:rPr>
              <w:t>total_conflicts</w:t>
            </w:r>
          </w:p>
        </w:tc>
        <w:tc>
          <w:tcPr>
            <w:tcW w:type="dxa" w:w="4392"/>
          </w:tcPr>
          <w:p>
            <w:r>
              <w:t>Count of entries in sync_conflicts.json</w:t>
            </w:r>
          </w:p>
        </w:tc>
      </w:tr>
      <w:tr>
        <w:tc>
          <w:tcPr>
            <w:tcW w:type="dxa" w:w="4392"/>
          </w:tcPr>
          <w:p>
            <w:r>
              <w:rPr>
                <w:rFonts w:ascii="Courier New" w:hAnsi="Courier New"/>
              </w:rPr>
              <w:t>conflicts_resolved_local</w:t>
            </w:r>
          </w:p>
        </w:tc>
        <w:tc>
          <w:tcPr>
            <w:tcW w:type="dxa" w:w="4392"/>
          </w:tcPr>
          <w:p>
            <w:r>
              <w:t>Count where resolution="local_wins"</w:t>
            </w:r>
          </w:p>
        </w:tc>
      </w:tr>
      <w:tr>
        <w:tc>
          <w:tcPr>
            <w:tcW w:type="dxa" w:w="4392"/>
          </w:tcPr>
          <w:p>
            <w:r>
              <w:rPr>
                <w:rFonts w:ascii="Courier New" w:hAnsi="Courier New"/>
              </w:rPr>
              <w:t>conflicts_resolved_remote</w:t>
            </w:r>
          </w:p>
        </w:tc>
        <w:tc>
          <w:tcPr>
            <w:tcW w:type="dxa" w:w="4392"/>
          </w:tcPr>
          <w:p>
            <w:r>
              <w:t>Count where resolution="remote_wins"</w:t>
            </w:r>
          </w:p>
        </w:tc>
      </w:tr>
      <w:tr>
        <w:tc>
          <w:tcPr>
            <w:tcW w:type="dxa" w:w="4392"/>
          </w:tcPr>
          <w:p>
            <w:r>
              <w:rPr>
                <w:rFonts w:ascii="Courier New" w:hAnsi="Courier New"/>
              </w:rPr>
              <w:t>local_events_processed</w:t>
            </w:r>
          </w:p>
        </w:tc>
        <w:tc>
          <w:tcPr>
            <w:tcW w:type="dxa" w:w="4392"/>
          </w:tcPr>
          <w:p>
            <w:r>
              <w:t>Length of local_events.json (before dedup)</w:t>
            </w:r>
          </w:p>
        </w:tc>
      </w:tr>
      <w:tr>
        <w:tc>
          <w:tcPr>
            <w:tcW w:type="dxa" w:w="4392"/>
          </w:tcPr>
          <w:p>
            <w:r>
              <w:rPr>
                <w:rFonts w:ascii="Courier New" w:hAnsi="Courier New"/>
              </w:rPr>
              <w:t>remote_events_processed</w:t>
            </w:r>
          </w:p>
        </w:tc>
        <w:tc>
          <w:tcPr>
            <w:tcW w:type="dxa" w:w="4392"/>
          </w:tcPr>
          <w:p>
            <w:r>
              <w:t>Length of remote_events.json (before dedup)</w:t>
            </w:r>
          </w:p>
        </w:tc>
      </w:tr>
      <w:tr>
        <w:tc>
          <w:tcPr>
            <w:tcW w:type="dxa" w:w="4392"/>
          </w:tcPr>
          <w:p>
            <w:r>
              <w:rPr>
                <w:rFonts w:ascii="Courier New" w:hAnsi="Courier New"/>
              </w:rPr>
              <w:t>duplicate_events_dropped</w:t>
            </w:r>
          </w:p>
        </w:tc>
        <w:tc>
          <w:tcPr>
            <w:tcW w:type="dxa" w:w="4392"/>
          </w:tcPr>
          <w:p>
            <w:r>
              <w:t>Count of event_ids appearing in both streams</w:t>
            </w:r>
          </w:p>
        </w:tc>
      </w:tr>
      <w:tr>
        <w:tc>
          <w:tcPr>
            <w:tcW w:type="dxa" w:w="4392"/>
          </w:tcPr>
          <w:p>
            <w:r>
              <w:rPr>
                <w:rFonts w:ascii="Courier New" w:hAnsi="Courier New"/>
              </w:rPr>
              <w:t>entities_with_conflicts</w:t>
            </w:r>
          </w:p>
        </w:tc>
        <w:tc>
          <w:tcPr>
            <w:tcW w:type="dxa" w:w="4392"/>
          </w:tcPr>
          <w:p>
            <w:r>
              <w:t>Unique entity_ids in sync_conflicts.json</w:t>
            </w:r>
          </w:p>
        </w:tc>
      </w:tr>
    </w:tbl>
    <w:p>
      <w:r>
        <w:br w:type="page"/>
      </w:r>
    </w:p>
    <w:p>
      <w:pPr>
        <w:pStyle w:val="Heading1"/>
      </w:pPr>
      <w:r>
        <w:rPr>
          <w:color w:val="005BA6"/>
        </w:rPr>
        <w:t>What You Must Produce</w:t>
      </w:r>
    </w:p>
    <w:p>
      <w:r>
        <w:t>Per case, under submission/outputs/&lt;case_id&gt;/:</w:t>
      </w:r>
    </w:p>
    <w:tbl>
      <w:tblPr>
        <w:tblStyle w:val="TableGrid"/>
        <w:tblW w:type="auto" w:w="0"/>
        <w:tblLook w:firstColumn="1" w:firstRow="1" w:lastColumn="0" w:lastRow="0" w:noHBand="0" w:noVBand="1" w:val="04A0"/>
      </w:tblPr>
      <w:tblGrid>
        <w:gridCol w:w="4392"/>
        <w:gridCol w:w="4392"/>
      </w:tblGrid>
      <w:tr>
        <w:tc>
          <w:tcPr>
            <w:tcW w:type="dxa" w:w="4392"/>
            <w:shd w:val="clear" w:color="auto" w:fill="005BA6"/>
          </w:tcPr>
          <w:p>
            <w:r>
              <w:rPr>
                <w:b/>
                <w:color w:val="FFFFFF"/>
              </w:rPr>
              <w:t>File</w:t>
            </w:r>
          </w:p>
        </w:tc>
        <w:tc>
          <w:tcPr>
            <w:tcW w:type="dxa" w:w="4392"/>
            <w:shd w:val="clear" w:color="auto" w:fill="005BA6"/>
          </w:tcPr>
          <w:p>
            <w:r>
              <w:rPr>
                <w:b/>
                <w:color w:val="FFFFFF"/>
              </w:rPr>
              <w:t>Schema</w:t>
            </w:r>
          </w:p>
        </w:tc>
      </w:tr>
      <w:tr>
        <w:tc>
          <w:tcPr>
            <w:tcW w:type="dxa" w:w="4392"/>
          </w:tcPr>
          <w:p>
            <w:r>
              <w:rPr>
                <w:rFonts w:ascii="Courier New" w:hAnsi="Courier New"/>
              </w:rPr>
              <w:t>resolved_state.json</w:t>
            </w:r>
          </w:p>
        </w:tc>
        <w:tc>
          <w:tcPr>
            <w:tcW w:type="dxa" w:w="4392"/>
          </w:tcPr>
          <w:p>
            <w:r>
              <w:rPr>
                <w:rFonts w:ascii="Courier New" w:hAnsi="Courier New"/>
              </w:rPr>
              <w:t>schema/resolved_state.schema.json</w:t>
            </w:r>
          </w:p>
        </w:tc>
      </w:tr>
      <w:tr>
        <w:tc>
          <w:tcPr>
            <w:tcW w:type="dxa" w:w="4392"/>
          </w:tcPr>
          <w:p>
            <w:r>
              <w:rPr>
                <w:rFonts w:ascii="Courier New" w:hAnsi="Courier New"/>
              </w:rPr>
              <w:t>sync_conflicts.json</w:t>
            </w:r>
          </w:p>
        </w:tc>
        <w:tc>
          <w:tcPr>
            <w:tcW w:type="dxa" w:w="4392"/>
          </w:tcPr>
          <w:p>
            <w:r>
              <w:rPr>
                <w:rFonts w:ascii="Courier New" w:hAnsi="Courier New"/>
              </w:rPr>
              <w:t>schema/sync_conflicts.schema.json</w:t>
            </w:r>
          </w:p>
        </w:tc>
      </w:tr>
      <w:tr>
        <w:tc>
          <w:tcPr>
            <w:tcW w:type="dxa" w:w="4392"/>
          </w:tcPr>
          <w:p>
            <w:r>
              <w:rPr>
                <w:rFonts w:ascii="Courier New" w:hAnsi="Courier New"/>
              </w:rPr>
              <w:t>sync_report.json</w:t>
            </w:r>
          </w:p>
        </w:tc>
        <w:tc>
          <w:tcPr>
            <w:tcW w:type="dxa" w:w="4392"/>
          </w:tcPr>
          <w:p>
            <w:r>
              <w:rPr>
                <w:rFonts w:ascii="Courier New" w:hAnsi="Courier New"/>
              </w:rPr>
              <w:t>schema/sync_report.schema.json</w:t>
            </w:r>
          </w:p>
        </w:tc>
      </w:tr>
    </w:tbl>
    <w:p/>
    <w:p>
      <w:pPr>
        <w:pStyle w:val="Heading2"/>
      </w:pPr>
      <w:r>
        <w:rPr>
          <w:color w:val="1A1A2E"/>
        </w:rPr>
        <w:t>Submission Layout (exact)</w:t>
      </w:r>
    </w:p>
    <w:p>
      <w:pPr>
        <w:ind w:left="576"/>
      </w:pPr>
      <w:r>
        <w:rPr>
          <w:rFonts w:ascii="Courier New" w:hAnsi="Courier New"/>
          <w:color w:val="333333"/>
          <w:sz w:val="18"/>
        </w:rPr>
        <w:t>submission/</w:t>
        <w:br/>
        <w:t>├── README.md              # how to run; language/version; dependency manager</w:t>
        <w:br/>
        <w:t>├── assumptions.md         # every spec ambiguity you encountered and how you resolved it</w:t>
        <w:br/>
        <w:t>├── AI_USAGE.md            # AI tools used, prompts, and outcomes</w:t>
        <w:br/>
        <w:t>├── RUN_RESULTS.md         # wall-clock time + output file sizes per case</w:t>
        <w:br/>
        <w:t>├── src/                   # your Kotlin or Swift source code</w:t>
        <w:br/>
        <w:t>└── outputs/</w:t>
        <w:br/>
        <w:t xml:space="preserve">    ├── case-01-small/</w:t>
        <w:br/>
        <w:t xml:space="preserve">    │   ├── resolved_state.json</w:t>
        <w:br/>
        <w:t xml:space="preserve">    │   ├── sync_conflicts.json</w:t>
        <w:br/>
        <w:t xml:space="preserve">    │   └── sync_report.json</w:t>
        <w:br/>
        <w:t xml:space="preserve">    ├── case-02-conflicts/  (same structure)</w:t>
        <w:br/>
        <w:t xml:space="preserve">    ├── case-03-edge/       (same structure)</w:t>
        <w:br/>
        <w:t xml:space="preserve">    └── case-04-scale/      (same structure)</w:t>
      </w:r>
    </w:p>
    <w:p/>
    <w:p>
      <w:pPr>
        <w:pStyle w:val="Heading2"/>
      </w:pPr>
      <w:r>
        <w:rPr>
          <w:color w:val="1A1A2E"/>
        </w:rPr>
        <w:t>Ground Rules</w:t>
      </w:r>
    </w:p>
    <w:p>
      <w:r>
        <w:t>1. Determinism is mandatory. Same input → byte-identical outputs across runs.</w:t>
      </w:r>
    </w:p>
    <w:p>
      <w:r>
        <w:t>2. Validate against the schemas in schema/ before submitting. Hard schema failures are penalised.</w:t>
      </w:r>
    </w:p>
    <w:p>
      <w:r>
        <w:t>3. Record every ambiguity in assumptions.md. We credit reasoned interpretation; we penalise silent guessing.</w:t>
      </w:r>
    </w:p>
    <w:p>
      <w:r>
        <w:t>4. Language signals depth. We expect idiomatic Kotlin (coroutines, sealed classes, data classes) or Swift (async/await, Codable, actors). Raw Map&lt;String, Any&gt; and force-unwraps in production paths lose manual points.</w:t>
      </w:r>
    </w:p>
    <w:p>
      <w:r>
        <w:t>5. Do not hardcode answers. We re-run your code on a hidden 5th case after submission. Same schema, same rules, different data.</w:t>
      </w:r>
    </w:p>
    <w:p/>
    <w:p>
      <w:r>
        <w:rPr>
          <w:color w:val="CCCCCC"/>
          <w:sz w:val="16"/>
        </w:rPr>
        <w:t>──────────────────────────────────────────────────────────────────────────────</w:t>
      </w:r>
    </w:p>
    <w:p>
      <w:pPr>
        <w:jc w:val="center"/>
      </w:pPr>
      <w:r>
        <w:rPr>
          <w:color w:val="555555"/>
        </w:rPr>
        <w:t>Questions? Email us before the deadline. Good luck!</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