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国家综合立体交通网规划纲要（低空经济相关节选）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发文机关：</w:t>
      </w:r>
      <w:r>
        <w:rPr>
          <w:rFonts w:ascii="SimSun" w:hAnsi="SimSun" w:eastAsia="SimSun"/>
          <w:b w:val="0"/>
        </w:rPr>
        <w:t xml:space="preserve"> 中共中央、国务院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发布日期：</w:t>
      </w:r>
      <w:r>
        <w:rPr>
          <w:rFonts w:ascii="SimSun" w:hAnsi="SimSun" w:eastAsia="SimSun"/>
          <w:b w:val="0"/>
        </w:rPr>
        <w:t xml:space="preserve"> 2021年2月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文件类别：</w:t>
      </w:r>
      <w:r>
        <w:rPr>
          <w:rFonts w:ascii="SimSun" w:hAnsi="SimSun" w:eastAsia="SimSun"/>
          <w:b w:val="0"/>
        </w:rPr>
        <w:t xml:space="preserve"> 国家规划纲要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https://www.gov.cn/zhengce/2021-02/24/content_5588654.htm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  <w:t>本文件是</w:t>
      </w:r>
      <w:r>
        <w:rPr>
          <w:rFonts w:ascii="SimSun" w:hAnsi="SimSun" w:eastAsia="SimSun"/>
          <w:b/>
        </w:rPr>
        <w:t>首次将"低空经济"写入国家规划</w:t>
      </w:r>
      <w:r>
        <w:rPr>
          <w:rFonts w:ascii="SimSun" w:hAnsi="SimSun" w:eastAsia="SimSun"/>
          <w:b w:val="0"/>
        </w:rPr>
        <w:t>的纲领性文件，具有里程碑意义。标志着低空经济从行业概念上升为国家战略。</w:t>
      </w:r>
    </w:p>
    <w:p>
      <w:pPr>
        <w:pStyle w:val="Heading2"/>
      </w:pPr>
      <w:r>
        <w:rPr>
          <w:rFonts w:ascii="SimHei" w:hAnsi="SimHei" w:eastAsia="SimHei"/>
        </w:rPr>
        <w:t>低空经济相关表述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在"建设现代化高质量综合立体交通网络"章节中明确提出：</w:t>
      </w:r>
      <w:r>
        <w:rPr>
          <w:rFonts w:ascii="SimSun" w:hAnsi="SimSun" w:eastAsia="SimSun"/>
          <w:b w:val="0"/>
        </w:rPr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完善运输机场功能布局，拓展航空运输网络，积极发展通用航空，促进低空经济发展。构建城市群内部快速空中交通网络，推进城市群、都市圈交通一体化发展。</w:t>
      </w:r>
    </w:p>
    <w:p>
      <w:pPr>
        <w:pStyle w:val="Heading2"/>
      </w:pPr>
      <w:r>
        <w:rPr>
          <w:rFonts w:ascii="SimHei" w:hAnsi="SimHei" w:eastAsia="SimHei"/>
        </w:rPr>
        <w:t>相关规划要点</w:t>
      </w:r>
    </w:p>
    <w:p>
      <w:pPr>
        <w:pStyle w:val="Heading3"/>
      </w:pPr>
      <w:r>
        <w:rPr>
          <w:rFonts w:ascii="SimHei" w:hAnsi="SimHei" w:eastAsia="SimHei"/>
        </w:rPr>
        <w:t>低空交通网络布局</w:t>
      </w:r>
    </w:p>
    <w:p>
      <w:pPr>
        <w:pStyle w:val="ListBullet"/>
      </w:pPr>
      <w:r>
        <w:rPr>
          <w:rFonts w:ascii="SimSun" w:hAnsi="SimSun" w:eastAsia="SimSun"/>
          <w:b w:val="0"/>
        </w:rPr>
        <w:t>将通用机场纳入综合交通枢纽布局</w:t>
      </w:r>
    </w:p>
    <w:p>
      <w:pPr>
        <w:pStyle w:val="ListBullet"/>
      </w:pPr>
      <w:r>
        <w:rPr>
          <w:rFonts w:ascii="SimSun" w:hAnsi="SimSun" w:eastAsia="SimSun"/>
          <w:b w:val="0"/>
        </w:rPr>
        <w:t>构建以运输机场为核心、通用机场为补充的航空网络体系</w:t>
      </w:r>
    </w:p>
    <w:p>
      <w:pPr>
        <w:pStyle w:val="ListBullet"/>
      </w:pPr>
      <w:r>
        <w:rPr>
          <w:rFonts w:ascii="SimSun" w:hAnsi="SimSun" w:eastAsia="SimSun"/>
          <w:b w:val="0"/>
        </w:rPr>
        <w:t>推动低空飞行服务保障体系建设</w:t>
      </w:r>
    </w:p>
    <w:p>
      <w:pPr>
        <w:pStyle w:val="Heading3"/>
      </w:pPr>
      <w:r>
        <w:rPr>
          <w:rFonts w:ascii="SimHei" w:hAnsi="SimHei" w:eastAsia="SimHei"/>
        </w:rPr>
        <w:t>技术创新方向</w:t>
      </w:r>
    </w:p>
    <w:p>
      <w:pPr>
        <w:pStyle w:val="ListBullet"/>
      </w:pPr>
      <w:r>
        <w:rPr>
          <w:rFonts w:ascii="SimSun" w:hAnsi="SimSun" w:eastAsia="SimSun"/>
          <w:b w:val="0"/>
        </w:rPr>
        <w:t>推动新一代信息技术与交通运输深度融合</w:t>
      </w:r>
    </w:p>
    <w:p>
      <w:pPr>
        <w:pStyle w:val="ListBullet"/>
      </w:pPr>
      <w:r>
        <w:rPr>
          <w:rFonts w:ascii="SimSun" w:hAnsi="SimSun" w:eastAsia="SimSun"/>
          <w:b w:val="0"/>
        </w:rPr>
        <w:t>发展智慧交通，提升交通运输智能化水平</w:t>
      </w:r>
    </w:p>
    <w:p>
      <w:pPr>
        <w:pStyle w:val="ListBullet"/>
      </w:pPr>
      <w:r>
        <w:rPr>
          <w:rFonts w:ascii="SimSun" w:hAnsi="SimSun" w:eastAsia="SimSun"/>
          <w:b w:val="0"/>
        </w:rPr>
        <w:t>推动载运工具技术升级</w:t>
      </w:r>
    </w:p>
    <w:p>
      <w:pPr>
        <w:pStyle w:val="Heading3"/>
      </w:pPr>
      <w:r>
        <w:rPr>
          <w:rFonts w:ascii="SimHei" w:hAnsi="SimHei" w:eastAsia="SimHei"/>
        </w:rPr>
        <w:t>政策保障</w:t>
      </w:r>
    </w:p>
    <w:p>
      <w:pPr>
        <w:pStyle w:val="ListBullet"/>
      </w:pPr>
      <w:r>
        <w:rPr>
          <w:rFonts w:ascii="SimSun" w:hAnsi="SimSun" w:eastAsia="SimSun"/>
          <w:b w:val="0"/>
        </w:rPr>
        <w:t>完善低空空域管理政策</w:t>
      </w:r>
    </w:p>
    <w:p>
      <w:pPr>
        <w:pStyle w:val="ListBullet"/>
      </w:pPr>
      <w:r>
        <w:rPr>
          <w:rFonts w:ascii="SimSun" w:hAnsi="SimSun" w:eastAsia="SimSun"/>
          <w:b w:val="0"/>
        </w:rPr>
        <w:t>健全通用航空法规标准体系</w:t>
      </w:r>
    </w:p>
    <w:p>
      <w:pPr>
        <w:pStyle w:val="ListBullet"/>
      </w:pPr>
      <w:r>
        <w:rPr>
          <w:rFonts w:ascii="SimSun" w:hAnsi="SimSun" w:eastAsia="SimSun"/>
          <w:b w:val="0"/>
        </w:rPr>
        <w:t>优化空域资源配置</w:t>
      </w:r>
    </w:p>
    <w:p>
      <w:pPr>
        <w:pStyle w:val="Heading2"/>
      </w:pPr>
      <w:r>
        <w:rPr>
          <w:rFonts w:ascii="SimHei" w:hAnsi="SimHei" w:eastAsia="SimHei"/>
        </w:rPr>
        <w:t>文件意义</w:t>
      </w:r>
    </w:p>
    <w:p>
      <w:r>
        <w:rPr>
          <w:rFonts w:ascii="SimSun" w:hAnsi="SimSun" w:eastAsia="SimSun"/>
          <w:b w:val="0"/>
        </w:rPr>
        <w:t>本文件是国家对低空经济的首次"确认"，为后续系列政策的出台奠定了战略基础。自此，低空经济概念开始进入产业界、投资界和学术界的核心视野。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