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</w:rPr>
        <w:t>2023年中央经济工作会议关于低空经济的表述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会议时间：</w:t>
      </w:r>
      <w:r>
        <w:rPr>
          <w:rFonts w:ascii="SimSun" w:hAnsi="SimSun" w:eastAsia="SimSun"/>
          <w:b w:val="0"/>
        </w:rPr>
        <w:t xml:space="preserve"> 2023年12月11日至12日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会议地点：</w:t>
      </w:r>
      <w:r>
        <w:rPr>
          <w:rFonts w:ascii="SimSun" w:hAnsi="SimSun" w:eastAsia="SimSun"/>
          <w:b w:val="0"/>
        </w:rPr>
        <w:t xml:space="preserve"> 北京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原文链接：</w:t>
      </w:r>
      <w:r>
        <w:rPr>
          <w:rFonts w:ascii="SimSun" w:hAnsi="SimSun" w:eastAsia="SimSun"/>
          <w:b w:val="0"/>
        </w:rPr>
        <w:t xml:space="preserve"> https://www.gov.cn/yaowen/2023-12/content_6920410.htm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核心要点</w:t>
      </w:r>
    </w:p>
    <w:p>
      <w:r>
        <w:rPr>
          <w:rFonts w:ascii="SimSun" w:hAnsi="SimSun" w:eastAsia="SimSun"/>
          <w:b w:val="0"/>
        </w:rPr>
        <w:t>中央经济工作会议首次将低空经济列为战略性新兴产业，标志着低空经济从行业层面上升至国家战略新兴产业层面。</w:t>
      </w:r>
    </w:p>
    <w:p>
      <w:pPr>
        <w:pStyle w:val="Heading2"/>
      </w:pPr>
      <w:r>
        <w:rPr>
          <w:rFonts w:ascii="SimHei" w:hAnsi="SimHei" w:eastAsia="SimHei"/>
        </w:rPr>
        <w:t>原文表述</w:t>
      </w:r>
    </w:p>
    <w:p>
      <w:pPr>
        <w:ind w:left="567"/>
        <w:pBdr>
          <w:left w:val="single" w:sz="24" w:space="8" w:color="2E75B6"/>
        </w:pBdr>
      </w:pPr>
      <w:r>
        <w:rPr>
          <w:rFonts w:ascii="SimSun" w:hAnsi="SimSun" w:eastAsia="SimSun"/>
          <w:i/>
          <w:color w:val="333333"/>
        </w:rPr>
        <w:t>以科技创新引领现代化产业体系建设。 要大力推进新型工业化，发展数字经济，加快推动人工智能发展。打造生物制造、商业航天、低空经济等若干战略性新兴产业，开辟量子、生命科学等未来产业新赛道，广泛应用数智技术、绿色技术，加快传统产业转型升级。加强质量支撑和标准引领，提升产业链供应链韧性和安全水平。鼓励发展创业投资、股权投资。</w:t>
      </w:r>
    </w:p>
    <w:p>
      <w:pPr>
        <w:pStyle w:val="Heading2"/>
      </w:pPr>
      <w:r>
        <w:rPr>
          <w:rFonts w:ascii="SimHei" w:hAnsi="SimHei" w:eastAsia="SimHei"/>
        </w:rPr>
        <w:t>政策信号解读</w:t>
      </w:r>
    </w:p>
    <w:p>
      <w:pPr>
        <w:pStyle w:val="Heading3"/>
      </w:pPr>
      <w:r>
        <w:rPr>
          <w:rFonts w:ascii="SimHei" w:hAnsi="SimHei" w:eastAsia="SimHei"/>
        </w:rPr>
        <w:t>一、战略定位升级</w:t>
      </w:r>
    </w:p>
    <w:p>
      <w:r>
        <w:rPr>
          <w:rFonts w:ascii="SimSun" w:hAnsi="SimSun" w:eastAsia="SimSun"/>
          <w:b w:val="0"/>
        </w:rPr>
        <w:t>从《国家综合立体交通网规划纲要》中的"促进低空经济发展"到中央经济工作会议的"战略性新兴产业"，低空经济的战略定位实现质的飞跃。</w:t>
      </w:r>
    </w:p>
    <w:p>
      <w:pPr>
        <w:pStyle w:val="Heading3"/>
      </w:pPr>
      <w:r>
        <w:rPr>
          <w:rFonts w:ascii="SimHei" w:hAnsi="SimHei" w:eastAsia="SimHei"/>
        </w:rPr>
        <w:t>二、产业方向明确</w:t>
      </w:r>
    </w:p>
    <w:p>
      <w:r>
        <w:rPr>
          <w:rFonts w:ascii="SimSun" w:hAnsi="SimSun" w:eastAsia="SimSun"/>
          <w:b w:val="0"/>
        </w:rPr>
        <w:t>与生物制造、商业航天并列，低空经济成为三大战略性新兴产业之一，表明其产业化、规模化发展方向已获国家最高层面认可。</w:t>
      </w:r>
    </w:p>
    <w:p>
      <w:pPr>
        <w:pStyle w:val="Heading3"/>
      </w:pPr>
      <w:r>
        <w:rPr>
          <w:rFonts w:ascii="SimHei" w:hAnsi="SimHei" w:eastAsia="SimHei"/>
        </w:rPr>
        <w:t>三、工作抓手清晰</w:t>
      </w:r>
    </w:p>
    <w:p>
      <w:r>
        <w:rPr>
          <w:rFonts w:ascii="SimSun" w:hAnsi="SimSun" w:eastAsia="SimSun"/>
          <w:b w:val="0"/>
        </w:rPr>
        <w:t>以科技创新为引领，以新型工业化为路径，将低空经济纳入现代化产业体系建设总体布局。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SimSun" w:hAnsi="SimSun" w:eastAsia="SimSun"/>
          <w:b w:val="0"/>
        </w:rPr>
        <w:t>*文件整理日期：2026年5月*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