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中央空管委关于加强低空空管工作的专项措施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发文机关：</w:t>
      </w:r>
      <w:r>
        <w:rPr>
          <w:rFonts w:ascii="SimSun" w:hAnsi="SimSun" w:eastAsia="SimSun"/>
          <w:b w:val="0"/>
        </w:rPr>
        <w:t xml:space="preserve"> 中央空中交通管理委员会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发布日期：</w:t>
      </w:r>
      <w:r>
        <w:rPr>
          <w:rFonts w:ascii="SimSun" w:hAnsi="SimSun" w:eastAsia="SimSun"/>
          <w:b w:val="0"/>
        </w:rPr>
        <w:t xml:space="preserve"> 2025年4月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文件类别：</w:t>
      </w:r>
      <w:r>
        <w:rPr>
          <w:rFonts w:ascii="SimSun" w:hAnsi="SimSun" w:eastAsia="SimSun"/>
          <w:b w:val="0"/>
        </w:rPr>
        <w:t xml:space="preserve"> 专项措施通知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参见中央空管办2025年4月7日发布信息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  <w:t>中央空管委面向全国空管系统部署加强低空空管工作，围绕健全管理体系、优化资源配置、提升运行服务等提出系统性措施，是低空经济空域管理领域的重要制度文件。</w:t>
      </w:r>
    </w:p>
    <w:p>
      <w:pPr>
        <w:pStyle w:val="Heading2"/>
      </w:pPr>
      <w:r>
        <w:rPr>
          <w:rFonts w:ascii="SimHei" w:hAnsi="SimHei" w:eastAsia="SimHei"/>
        </w:rPr>
        <w:t>重点措施</w:t>
      </w:r>
    </w:p>
    <w:p>
      <w:pPr>
        <w:pStyle w:val="Heading3"/>
      </w:pPr>
      <w:r>
        <w:rPr>
          <w:rFonts w:ascii="SimHei" w:hAnsi="SimHei" w:eastAsia="SimHei"/>
        </w:rPr>
        <w:t>一、健全低空管理体系</w:t>
      </w:r>
    </w:p>
    <w:p>
      <w:pPr>
        <w:pStyle w:val="ListBullet"/>
      </w:pPr>
      <w:r>
        <w:rPr>
          <w:rFonts w:ascii="SimSun" w:hAnsi="SimSun" w:eastAsia="SimSun"/>
          <w:b w:val="0"/>
        </w:rPr>
        <w:t>建立统一协调的低空空管工作机制</w:t>
      </w:r>
    </w:p>
    <w:p>
      <w:pPr>
        <w:pStyle w:val="ListBullet"/>
      </w:pPr>
      <w:r>
        <w:rPr>
          <w:rFonts w:ascii="SimSun" w:hAnsi="SimSun" w:eastAsia="SimSun"/>
          <w:b w:val="0"/>
        </w:rPr>
        <w:t>完善低空空域管理法规制度</w:t>
      </w:r>
    </w:p>
    <w:p>
      <w:pPr>
        <w:pStyle w:val="ListBullet"/>
      </w:pPr>
      <w:r>
        <w:rPr>
          <w:rFonts w:ascii="SimSun" w:hAnsi="SimSun" w:eastAsia="SimSun"/>
          <w:b w:val="0"/>
        </w:rPr>
        <w:t>明确各级空管部门低空管理职责</w:t>
      </w:r>
    </w:p>
    <w:p>
      <w:pPr>
        <w:pStyle w:val="Heading3"/>
      </w:pPr>
      <w:r>
        <w:rPr>
          <w:rFonts w:ascii="SimHei" w:hAnsi="SimHei" w:eastAsia="SimHei"/>
        </w:rPr>
        <w:t>二、优化空域资源配置</w:t>
      </w:r>
    </w:p>
    <w:p>
      <w:pPr>
        <w:pStyle w:val="ListBullet"/>
      </w:pPr>
      <w:r>
        <w:rPr>
          <w:rFonts w:ascii="SimSun" w:hAnsi="SimSun" w:eastAsia="SimSun"/>
          <w:b w:val="0"/>
        </w:rPr>
        <w:t>推进低空空域分类管理</w:t>
      </w:r>
    </w:p>
    <w:p>
      <w:pPr>
        <w:pStyle w:val="ListBullet"/>
      </w:pPr>
      <w:r>
        <w:rPr>
          <w:rFonts w:ascii="SimSun" w:hAnsi="SimSun" w:eastAsia="SimSun"/>
          <w:b w:val="0"/>
        </w:rPr>
        <w:t>提高空域资源使用效率</w:t>
      </w:r>
    </w:p>
    <w:p>
      <w:pPr>
        <w:pStyle w:val="ListBullet"/>
      </w:pPr>
      <w:r>
        <w:rPr>
          <w:rFonts w:ascii="SimSun" w:hAnsi="SimSun" w:eastAsia="SimSun"/>
          <w:b w:val="0"/>
        </w:rPr>
        <w:t>建立空域灵活使用机制</w:t>
      </w:r>
    </w:p>
    <w:p>
      <w:pPr>
        <w:pStyle w:val="Heading3"/>
      </w:pPr>
      <w:r>
        <w:rPr>
          <w:rFonts w:ascii="SimHei" w:hAnsi="SimHei" w:eastAsia="SimHei"/>
        </w:rPr>
        <w:t>三、提升运行服务质效</w:t>
      </w:r>
    </w:p>
    <w:p>
      <w:pPr>
        <w:pStyle w:val="ListBullet"/>
      </w:pPr>
      <w:r>
        <w:rPr>
          <w:rFonts w:ascii="SimSun" w:hAnsi="SimSun" w:eastAsia="SimSun"/>
          <w:b w:val="0"/>
        </w:rPr>
        <w:t>优化飞行计划审批流程</w:t>
      </w:r>
    </w:p>
    <w:p>
      <w:pPr>
        <w:pStyle w:val="ListBullet"/>
      </w:pPr>
      <w:r>
        <w:rPr>
          <w:rFonts w:ascii="SimSun" w:hAnsi="SimSun" w:eastAsia="SimSun"/>
          <w:b w:val="0"/>
        </w:rPr>
        <w:t>提高飞行审批效率</w:t>
      </w:r>
    </w:p>
    <w:p>
      <w:pPr>
        <w:pStyle w:val="ListBullet"/>
      </w:pPr>
      <w:r>
        <w:rPr>
          <w:rFonts w:ascii="SimSun" w:hAnsi="SimSun" w:eastAsia="SimSun"/>
          <w:b w:val="0"/>
        </w:rPr>
        <w:t>完善低空飞行服务保障</w:t>
      </w:r>
    </w:p>
    <w:p>
      <w:pPr>
        <w:pStyle w:val="Heading3"/>
      </w:pPr>
      <w:r>
        <w:rPr>
          <w:rFonts w:ascii="SimHei" w:hAnsi="SimHei" w:eastAsia="SimHei"/>
        </w:rPr>
        <w:t>四、夯实基础支撑能力</w:t>
      </w:r>
    </w:p>
    <w:p>
      <w:pPr>
        <w:pStyle w:val="ListBullet"/>
      </w:pPr>
      <w:r>
        <w:rPr>
          <w:rFonts w:ascii="SimSun" w:hAnsi="SimSun" w:eastAsia="SimSun"/>
          <w:b w:val="0"/>
        </w:rPr>
        <w:t>加强低空通信导航监视能力建设</w:t>
      </w:r>
    </w:p>
    <w:p>
      <w:pPr>
        <w:pStyle w:val="ListBullet"/>
      </w:pPr>
      <w:r>
        <w:rPr>
          <w:rFonts w:ascii="SimSun" w:hAnsi="SimSun" w:eastAsia="SimSun"/>
          <w:b w:val="0"/>
        </w:rPr>
        <w:t>完善低空飞行服务站布局</w:t>
      </w:r>
    </w:p>
    <w:p>
      <w:pPr>
        <w:pStyle w:val="ListBullet"/>
      </w:pPr>
      <w:r>
        <w:rPr>
          <w:rFonts w:ascii="SimSun" w:hAnsi="SimSun" w:eastAsia="SimSun"/>
          <w:b w:val="0"/>
        </w:rPr>
        <w:t>推动低空智联网建设</w:t>
      </w:r>
    </w:p>
    <w:p>
      <w:pPr>
        <w:pStyle w:val="Heading3"/>
      </w:pPr>
      <w:r>
        <w:rPr>
          <w:rFonts w:ascii="SimHei" w:hAnsi="SimHei" w:eastAsia="SimHei"/>
        </w:rPr>
        <w:t>五、强化依法管空用空</w:t>
      </w:r>
    </w:p>
    <w:p>
      <w:pPr>
        <w:pStyle w:val="ListBullet"/>
      </w:pPr>
      <w:r>
        <w:rPr>
          <w:rFonts w:ascii="SimSun" w:hAnsi="SimSun" w:eastAsia="SimSun"/>
          <w:b w:val="0"/>
        </w:rPr>
        <w:t>严格执行《无人驾驶航空器飞行管理暂行条例》</w:t>
      </w:r>
    </w:p>
    <w:p>
      <w:pPr>
        <w:pStyle w:val="ListBullet"/>
      </w:pPr>
      <w:r>
        <w:rPr>
          <w:rFonts w:ascii="SimSun" w:hAnsi="SimSun" w:eastAsia="SimSun"/>
          <w:b w:val="0"/>
        </w:rPr>
        <w:t>加大对违规飞行的查处力度</w:t>
      </w:r>
    </w:p>
    <w:p>
      <w:pPr>
        <w:pStyle w:val="ListBullet"/>
      </w:pPr>
      <w:r>
        <w:rPr>
          <w:rFonts w:ascii="SimSun" w:hAnsi="SimSun" w:eastAsia="SimSun"/>
          <w:b w:val="0"/>
        </w:rPr>
        <w:t>建立健全低空安全监管长效机制</w:t>
      </w:r>
    </w:p>
    <w:p>
      <w:pPr>
        <w:pStyle w:val="Heading2"/>
      </w:pPr>
      <w:r>
        <w:rPr>
          <w:rFonts w:ascii="SimHei" w:hAnsi="SimHei" w:eastAsia="SimHei"/>
        </w:rPr>
        <w:t>政策意义</w:t>
      </w:r>
    </w:p>
    <w:p>
      <w:r>
        <w:rPr>
          <w:rFonts w:ascii="SimSun" w:hAnsi="SimSun" w:eastAsia="SimSun"/>
          <w:b w:val="0"/>
        </w:rPr>
        <w:t>本措施是中央空管委首次就低空空管工作出台系统性专项文件，体现了国家层面对低空经济"管得好、飞得稳"的治理意志，为低空经济安全有序发展提供了空域管理保障。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