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keepLines/>
        <w:spacing w:before="0" w:after="180" w:line="240" w:lineRule="auto"/>
        <w:jc w:val="center"/>
      </w:pPr>
      <w:r>
        <w:rPr>
          <w:rFonts w:ascii="Times New Roman" w:hAnsi="Times New Roman" w:eastAsia="Times New Roman"/>
          <w:b/>
          <w:i w:val="0"/>
          <w:color w:val="000000"/>
          <w:sz w:val="36"/>
        </w:rPr>
        <w:t>Weakly Supervised Bone Fracture Segmentation and Pseudo Mask Generation from X-Ray Images Using Deep Learning</w:t>
      </w:r>
    </w:p>
    <w:p>
      <w:pPr>
        <w:keepLines/>
        <w:spacing w:before="0" w:after="40" w:line="240" w:lineRule="auto"/>
        <w:jc w:val="center"/>
      </w:pPr>
      <w:r>
        <w:rPr>
          <w:rFonts w:ascii="Times New Roman" w:hAnsi="Times New Roman" w:eastAsia="Times New Roman"/>
          <w:b/>
          <w:i w:val="0"/>
          <w:color w:val="000000"/>
          <w:sz w:val="24"/>
        </w:rPr>
        <w:t>Shibli Sanjid Faheem and Yousuf Abdullah</w:t>
      </w:r>
    </w:p>
    <w:p>
      <w:pPr>
        <w:keepLines w:val="0"/>
        <w:spacing w:before="0" w:after="0" w:line="240" w:lineRule="auto"/>
        <w:jc w:val="center"/>
      </w:pPr>
      <w:r>
        <w:rPr>
          <w:rFonts w:ascii="Times New Roman" w:hAnsi="Times New Roman" w:eastAsia="Times New Roman"/>
          <w:b w:val="0"/>
          <w:i w:val="0"/>
          <w:color w:val="000000"/>
          <w:sz w:val="24"/>
        </w:rPr>
        <w:t>Department of Computer Science and Engineering</w:t>
      </w:r>
    </w:p>
    <w:p>
      <w:pPr>
        <w:keepLines w:val="0"/>
        <w:spacing w:before="0" w:after="0" w:line="240" w:lineRule="auto"/>
        <w:jc w:val="center"/>
      </w:pPr>
      <w:r>
        <w:rPr>
          <w:rFonts w:ascii="Times New Roman" w:hAnsi="Times New Roman" w:eastAsia="Times New Roman"/>
          <w:b w:val="0"/>
          <w:i w:val="0"/>
          <w:color w:val="000000"/>
          <w:sz w:val="24"/>
        </w:rPr>
        <w:t>Independent University, Bangladesh</w:t>
      </w:r>
    </w:p>
    <w:p>
      <w:pPr>
        <w:keepLines w:val="0"/>
        <w:spacing w:before="0" w:after="160" w:line="240" w:lineRule="auto"/>
        <w:jc w:val="center"/>
      </w:pPr>
      <w:r>
        <w:rPr>
          <w:rFonts w:ascii="Times New Roman" w:hAnsi="Times New Roman" w:eastAsia="Times New Roman"/>
          <w:b w:val="0"/>
          <w:i w:val="0"/>
          <w:color w:val="000000"/>
          <w:sz w:val="24"/>
        </w:rPr>
        <w:t>shiblisanjidfaheem@gmail.com</w:t>
      </w:r>
    </w:p>
    <w:p>
      <w:pPr>
        <w:keepLines/>
        <w:spacing w:before="0" w:after="60" w:line="240" w:lineRule="auto"/>
        <w:jc w:val="center"/>
      </w:pPr>
      <w:r>
        <w:rPr>
          <w:rFonts w:ascii="Times New Roman" w:hAnsi="Times New Roman" w:eastAsia="Times New Roman"/>
          <w:b/>
          <w:i w:val="0"/>
          <w:color w:val="000000"/>
          <w:sz w:val="24"/>
        </w:rPr>
        <w:t>Abstract</w:t>
      </w:r>
    </w:p>
    <w:p>
      <w:pPr>
        <w:keepLines w:val="0"/>
        <w:spacing w:before="0" w:after="100" w:line="240" w:lineRule="auto"/>
        <w:jc w:val="both"/>
      </w:pPr>
      <w:r>
        <w:rPr>
          <w:rFonts w:ascii="Times New Roman" w:hAnsi="Times New Roman" w:eastAsia="Times New Roman"/>
          <w:b w:val="0"/>
          <w:i w:val="0"/>
          <w:color w:val="000000"/>
          <w:sz w:val="20"/>
        </w:rPr>
        <w:t>Weakly supervised segmentation may reduce pixel-level annotation demands in bone-fracture X-ray analysis, but class activation maps (CAMs) provide coarse evidence rather than fracture boundaries. This paper defines a reproducible pipeline for transfer-learning classification, Grad-CAM, Grad-CAM++, and LayerCAM localization, validation-only threshold selection, and optional U-Net training on pseudo-masks. The current repository audit identified 1,927 labeled images from one class-folder source, representing 1,897 exact image hashes. No expert pixel masks, patient identifiers, or trained model results are currently available in the checkout. Accordingly, this manuscript reports the protocol and data status only; it makes no performance claims. A held-out FracAtlas evaluation, multiple-seed experiments, confidence intervals, and baseline comparisons remain necessary before submission. The implementation groups exact duplicates, keeps test-threshold selection separate from validation, and records source-level audit information. Near-duplicate and patient-level leakage remain unresolved without additional metadata.</w:t>
      </w:r>
    </w:p>
    <w:p>
      <w:pPr>
        <w:keepLines/>
        <w:spacing w:before="0" w:after="20" w:line="240" w:lineRule="auto"/>
        <w:jc w:val="left"/>
      </w:pPr>
      <w:r>
        <w:rPr>
          <w:rFonts w:ascii="Times New Roman" w:hAnsi="Times New Roman" w:eastAsia="Times New Roman"/>
          <w:b/>
          <w:i w:val="0"/>
          <w:color w:val="000000"/>
          <w:sz w:val="24"/>
        </w:rPr>
        <w:t>Keywords</w:t>
      </w:r>
    </w:p>
    <w:p>
      <w:pPr>
        <w:keepLines w:val="0"/>
        <w:spacing w:before="0" w:after="160" w:line="240" w:lineRule="auto"/>
        <w:jc w:val="both"/>
      </w:pPr>
      <w:r>
        <w:rPr>
          <w:rFonts w:ascii="Times New Roman" w:hAnsi="Times New Roman" w:eastAsia="Times New Roman"/>
          <w:b w:val="0"/>
          <w:i w:val="0"/>
          <w:color w:val="000000"/>
          <w:sz w:val="20"/>
        </w:rPr>
        <w:t>Weak supervision, bone fracture, X-ray imaging, class activation maps, pseudo-masks</w:t>
      </w:r>
    </w:p>
    <w:p>
      <w:pPr>
        <w:keepLines w:val="0"/>
        <w:spacing w:before="0" w:after="160" w:line="240" w:lineRule="auto"/>
        <w:jc w:val="center"/>
      </w:pPr>
      <w:r>
        <w:rPr>
          <w:rFonts w:ascii="Times New Roman" w:hAnsi="Times New Roman" w:eastAsia="Times New Roman"/>
          <w:b w:val="0"/>
          <w:i/>
          <w:color w:val="000000"/>
          <w:sz w:val="18"/>
        </w:rPr>
        <w:t>Protocol and status draft. Not ready for submission until the marked experiments and author details are completed.</w:t>
      </w:r>
    </w:p>
    <w:p>
      <w:pPr>
        <w:keepNext/>
        <w:keepLines/>
        <w:spacing w:before="100" w:after="40" w:line="240" w:lineRule="auto"/>
        <w:jc w:val="left"/>
      </w:pPr>
      <w:r>
        <w:rPr>
          <w:rFonts w:ascii="Times New Roman" w:hAnsi="Times New Roman" w:eastAsia="Times New Roman"/>
          <w:b/>
          <w:i w:val="0"/>
          <w:color w:val="000000"/>
          <w:sz w:val="24"/>
        </w:rPr>
        <w:t>1. Introduction</w:t>
      </w:r>
    </w:p>
    <w:p>
      <w:pPr>
        <w:keepLines w:val="0"/>
        <w:spacing w:before="0" w:after="100" w:line="240" w:lineRule="auto"/>
        <w:jc w:val="both"/>
      </w:pPr>
      <w:r>
        <w:rPr>
          <w:rFonts w:ascii="Times New Roman" w:hAnsi="Times New Roman" w:eastAsia="Times New Roman"/>
          <w:b w:val="0"/>
          <w:i w:val="0"/>
          <w:color w:val="000000"/>
          <w:sz w:val="20"/>
        </w:rPr>
        <w:t>Pixel-level fracture annotation requires expert review and is less abundant than image-level fracture labels. Weakly supervised learning therefore offers a practical research question: whether image-level supervision can produce useful localization maps and pseudo-masks for downstream segmentation. Public musculoskeletal radiograph collections such as FracAtlas provide image labels, boxes, and expert masks, while GRAZPEDWRI-DX provides a large annotated pediatric wrist dataset (Abedeen et al. 2023; Nagy et al. 2022). Their different populations and label structures make source-aware evaluation essential.</w:t>
      </w:r>
    </w:p>
    <w:p>
      <w:pPr>
        <w:keepLines w:val="0"/>
        <w:spacing w:before="0" w:after="100" w:line="240" w:lineRule="auto"/>
        <w:jc w:val="both"/>
      </w:pPr>
      <w:r>
        <w:rPr>
          <w:rFonts w:ascii="Times New Roman" w:hAnsi="Times New Roman" w:eastAsia="Times New Roman"/>
          <w:b w:val="0"/>
          <w:i w:val="0"/>
          <w:color w:val="000000"/>
          <w:sz w:val="20"/>
        </w:rPr>
        <w:t>CAM methods indicate image regions that contribute to a classifier's output, but their spatial resolution and discriminative nature can omit parts of a target (Zhou et al. 2016; Selvaraju et al. 2017). Grad-CAM++, LayerCAM, and more recent CAM refinement methods address aspects of localization quality, but do not turn image-level labels into expert segmentation annotations (Chattopadhyay et al. 2018; Jiang et al. 2021; Lei et al. 2023; Fu et al. 2025). This distinction is especially important for thin fracture lines, where apparent overlap can depend strongly on mask definition and threshold selection.</w:t>
      </w:r>
    </w:p>
    <w:p>
      <w:pPr>
        <w:keepLines w:val="0"/>
        <w:spacing w:before="0" w:after="100" w:line="240" w:lineRule="auto"/>
        <w:jc w:val="both"/>
      </w:pPr>
      <w:r>
        <w:rPr>
          <w:rFonts w:ascii="Times New Roman" w:hAnsi="Times New Roman" w:eastAsia="Times New Roman"/>
          <w:b w:val="0"/>
          <w:i w:val="0"/>
          <w:color w:val="000000"/>
          <w:sz w:val="20"/>
        </w:rPr>
        <w:t>The repository at the time of this audit contains one labeled image-folder source and no expert masks or patient identifiers. The experiment described here is consequently a protocol and implementation report. Numerical results are intentionally withheld until the required datasets and evaluations are complete.</w:t>
      </w:r>
    </w:p>
    <w:p>
      <w:pPr>
        <w:keepNext/>
        <w:keepLines/>
        <w:spacing w:before="100" w:after="40" w:line="240" w:lineRule="auto"/>
        <w:jc w:val="left"/>
      </w:pPr>
      <w:r>
        <w:rPr>
          <w:rFonts w:ascii="Times New Roman" w:hAnsi="Times New Roman" w:eastAsia="Times New Roman"/>
          <w:b/>
          <w:i w:val="0"/>
          <w:color w:val="000000"/>
          <w:sz w:val="24"/>
        </w:rPr>
        <w:t>1.1 Objectives</w:t>
      </w:r>
    </w:p>
    <w:p>
      <w:pPr>
        <w:keepLines w:val="0"/>
        <w:spacing w:before="0" w:after="100" w:line="240" w:lineRule="auto"/>
        <w:jc w:val="both"/>
      </w:pPr>
      <w:r>
        <w:rPr>
          <w:rFonts w:ascii="Times New Roman" w:hAnsi="Times New Roman" w:eastAsia="Times New Roman"/>
          <w:b w:val="0"/>
          <w:i w:val="0"/>
          <w:color w:val="000000"/>
          <w:sz w:val="20"/>
        </w:rPr>
        <w:t>The study will (1) compare ResNet-50 and DenseNet-121 fracture classifiers; (2) compare Grad-CAM, Grad-CAM++, and LayerCAM pseudo-masks using validation-selected thresholds; (3) measure localization against expert masks on a held-out FracAtlas split; (4) compare pseudo-mask-trained U-Net results with real-mask and trivial baselines; and (5) assess data leakage and image-statistic shortcuts. These objectives remain pending empirical completion.</w:t>
      </w:r>
    </w:p>
    <w:p>
      <w:pPr>
        <w:keepNext/>
        <w:keepLines/>
        <w:spacing w:before="100" w:after="40" w:line="240" w:lineRule="auto"/>
        <w:jc w:val="left"/>
      </w:pPr>
      <w:r>
        <w:rPr>
          <w:rFonts w:ascii="Times New Roman" w:hAnsi="Times New Roman" w:eastAsia="Times New Roman"/>
          <w:b/>
          <w:i w:val="0"/>
          <w:color w:val="000000"/>
          <w:sz w:val="24"/>
        </w:rPr>
        <w:t>2. Literature Review</w:t>
      </w:r>
    </w:p>
    <w:p>
      <w:pPr>
        <w:keepLines w:val="0"/>
        <w:spacing w:before="0" w:after="100" w:line="240" w:lineRule="auto"/>
        <w:jc w:val="both"/>
      </w:pPr>
      <w:r>
        <w:rPr>
          <w:rFonts w:ascii="Times New Roman" w:hAnsi="Times New Roman" w:eastAsia="Times New Roman"/>
          <w:b w:val="0"/>
          <w:i w:val="0"/>
          <w:color w:val="000000"/>
          <w:sz w:val="20"/>
        </w:rPr>
        <w:t>Class activation mapping uses feature-map evidence to localize discriminative image regions from image-level classification labels (Zhou et al. 2016). Grad-CAM generalizes this idea using gradients at a convolutional layer (Selvaraju et al. 2017), and Grad-CAM++ changes gradient weighting to improve explanations for multiple instances (Chattopadhyay et al. 2018). LayerCAM uses positive gradients at convolutional layers to provide hierarchical localization maps (Jiang et al. 2021). These maps can be thresholded into seeds, but CAM-only weak supervision is known to produce incomplete regions. AffinityNet propagates local responses using learned pixel affinities (Ahn and Kwak 2018); DCAM and UM-CAM propose later CAM refinement strategies (Lei et al. 2023; Fu et al. 2025). The current implementation evaluates the three gradient-based CAM methods and simple thresholding; it does not implement these learned refinement approaches.</w:t>
      </w:r>
    </w:p>
    <w:p>
      <w:pPr>
        <w:keepLines w:val="0"/>
        <w:spacing w:before="0" w:after="100" w:line="240" w:lineRule="auto"/>
        <w:jc w:val="both"/>
      </w:pPr>
      <w:r>
        <w:rPr>
          <w:rFonts w:ascii="Times New Roman" w:hAnsi="Times New Roman" w:eastAsia="Times New Roman"/>
          <w:b w:val="0"/>
          <w:i w:val="0"/>
          <w:color w:val="000000"/>
          <w:sz w:val="20"/>
        </w:rPr>
        <w:t>ResNet and DenseNet are established image-classification backbones (He et al. 2016; Huang et al. 2017), while U-Net is a common encoder-decoder architecture for biomedical segmentation (Ronneberger et al. 2015). FracAtlas supplies a relevant fracture dataset with segmentation annotations (Abedeen et al. 2023); GRAZPEDWRI-DX supplies pediatric wrist images and expert region labels (Nagy et al. 2022). These sources should not be pooled without reporting population, anatomy, annotation, and split differences.</w:t>
      </w:r>
    </w:p>
    <w:p>
      <w:pPr>
        <w:keepLines w:val="0"/>
        <w:spacing w:before="0" w:after="100" w:line="240" w:lineRule="auto"/>
        <w:jc w:val="both"/>
      </w:pPr>
      <w:r>
        <w:rPr>
          <w:rFonts w:ascii="Times New Roman" w:hAnsi="Times New Roman" w:eastAsia="Times New Roman"/>
          <w:b w:val="0"/>
          <w:i w:val="0"/>
          <w:color w:val="000000"/>
          <w:sz w:val="20"/>
        </w:rPr>
        <w:t>Shortcut learning describes models that exploit predictive but non-causal cues and fail under changed conditions (Geirhos et al. 2020). For radiographs, source, acquisition, and image processing artifacts can correlate with labels. The planned low-level image-statistics baseline is a warning screen, not proof that a model is unbiased. Exact duplicate hashes reduce one form of leakage, but they cannot replace patient or study grouping. Threshold selection follows validation-only practice; Otsu thresholding is included as an unsupervised comparator (Otsu 1979). Confidence intervals will be estimated by bootstrapping independent hash groups rather than individual duplicate files (Efron 1979).</w:t>
      </w:r>
    </w:p>
    <w:p>
      <w:pPr>
        <w:keepNext/>
        <w:keepLines/>
        <w:spacing w:before="100" w:after="40" w:line="240" w:lineRule="auto"/>
        <w:jc w:val="left"/>
      </w:pPr>
      <w:r>
        <w:rPr>
          <w:rFonts w:ascii="Times New Roman" w:hAnsi="Times New Roman" w:eastAsia="Times New Roman"/>
          <w:b/>
          <w:i w:val="0"/>
          <w:color w:val="000000"/>
          <w:sz w:val="24"/>
        </w:rPr>
        <w:t>3. Methods</w:t>
      </w:r>
    </w:p>
    <w:p>
      <w:pPr>
        <w:keepNext/>
        <w:keepLines/>
        <w:spacing w:before="100" w:after="40" w:line="240" w:lineRule="auto"/>
        <w:jc w:val="left"/>
      </w:pPr>
      <w:r>
        <w:rPr>
          <w:rFonts w:ascii="Times New Roman" w:hAnsi="Times New Roman" w:eastAsia="Times New Roman"/>
          <w:b/>
          <w:i w:val="0"/>
          <w:color w:val="000000"/>
          <w:sz w:val="22"/>
        </w:rPr>
        <w:t>3.1 Data inventory and provenance</w:t>
      </w:r>
    </w:p>
    <w:p>
      <w:pPr>
        <w:keepLines w:val="0"/>
        <w:spacing w:before="0" w:after="100" w:line="240" w:lineRule="auto"/>
        <w:jc w:val="both"/>
      </w:pPr>
      <w:r>
        <w:rPr>
          <w:rFonts w:ascii="Times New Roman" w:hAnsi="Times New Roman" w:eastAsia="Times New Roman"/>
          <w:b w:val="0"/>
          <w:i w:val="0"/>
          <w:color w:val="000000"/>
          <w:sz w:val="20"/>
        </w:rPr>
        <w:t>The current data root is Datasets/BONE_FRACTURE_DATASET/cropped_dataset, organized into train, val, and test folders with fractured and not-fractured labels. The generated manifest contains 1,927 image files and 1,897 unique SHA-256 hashes. It records 936 train images, 600 validation images, and 391 test images. No candidate pixel masks were found. The source citation, collection details, license, and patient grouping metadata were not included in the checkout and must be added before publication.</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40"/>
        <w:gridCol w:w="1152"/>
        <w:gridCol w:w="1224"/>
        <w:gridCol w:w="936"/>
        <w:gridCol w:w="2808"/>
      </w:tblGrid>
      <w:tr>
        <w:tc>
          <w:tcPr>
            <w:tcW w:type="dxa" w:w="3240"/>
            <w:vAlign w:val="center"/>
            <w:shd w:fill="1F4E78"/>
          </w:tcPr>
          <w:p>
            <w:pPr>
              <w:spacing w:after="60"/>
              <w:jc w:val="center"/>
            </w:pPr>
            <w:r>
              <w:rPr>
                <w:rFonts w:ascii="Times New Roman" w:hAnsi="Times New Roman" w:eastAsia="Times New Roman"/>
                <w:b/>
                <w:i w:val="0"/>
                <w:color w:val="FFFFFF"/>
                <w:sz w:val="18"/>
              </w:rPr>
              <w:t>Repository source</w:t>
            </w:r>
          </w:p>
        </w:tc>
        <w:tc>
          <w:tcPr>
            <w:tcW w:type="dxa" w:w="1152"/>
            <w:vAlign w:val="center"/>
            <w:shd w:fill="1F4E78"/>
          </w:tcPr>
          <w:p>
            <w:pPr>
              <w:spacing w:after="60"/>
              <w:jc w:val="center"/>
            </w:pPr>
            <w:r>
              <w:rPr>
                <w:rFonts w:ascii="Times New Roman" w:hAnsi="Times New Roman" w:eastAsia="Times New Roman"/>
                <w:b/>
                <w:i w:val="0"/>
                <w:color w:val="FFFFFF"/>
                <w:sz w:val="18"/>
              </w:rPr>
              <w:t>Images</w:t>
            </w:r>
          </w:p>
        </w:tc>
        <w:tc>
          <w:tcPr>
            <w:tcW w:type="dxa" w:w="1224"/>
            <w:vAlign w:val="center"/>
            <w:shd w:fill="1F4E78"/>
          </w:tcPr>
          <w:p>
            <w:pPr>
              <w:spacing w:after="60"/>
              <w:jc w:val="center"/>
            </w:pPr>
            <w:r>
              <w:rPr>
                <w:rFonts w:ascii="Times New Roman" w:hAnsi="Times New Roman" w:eastAsia="Times New Roman"/>
                <w:b/>
                <w:i w:val="0"/>
                <w:color w:val="FFFFFF"/>
                <w:sz w:val="18"/>
              </w:rPr>
              <w:t>Unique hashes</w:t>
            </w:r>
          </w:p>
        </w:tc>
        <w:tc>
          <w:tcPr>
            <w:tcW w:type="dxa" w:w="936"/>
            <w:vAlign w:val="center"/>
            <w:shd w:fill="1F4E78"/>
          </w:tcPr>
          <w:p>
            <w:pPr>
              <w:spacing w:after="60"/>
              <w:jc w:val="center"/>
            </w:pPr>
            <w:r>
              <w:rPr>
                <w:rFonts w:ascii="Times New Roman" w:hAnsi="Times New Roman" w:eastAsia="Times New Roman"/>
                <w:b/>
                <w:i w:val="0"/>
                <w:color w:val="FFFFFF"/>
                <w:sz w:val="18"/>
              </w:rPr>
              <w:t>Masks</w:t>
            </w:r>
          </w:p>
        </w:tc>
        <w:tc>
          <w:tcPr>
            <w:tcW w:type="dxa" w:w="2808"/>
            <w:vAlign w:val="center"/>
            <w:shd w:fill="1F4E78"/>
          </w:tcPr>
          <w:p>
            <w:pPr>
              <w:spacing w:after="60"/>
              <w:jc w:val="center"/>
            </w:pPr>
            <w:r>
              <w:rPr>
                <w:rFonts w:ascii="Times New Roman" w:hAnsi="Times New Roman" w:eastAsia="Times New Roman"/>
                <w:b/>
                <w:i w:val="0"/>
                <w:color w:val="FFFFFF"/>
                <w:sz w:val="18"/>
              </w:rPr>
              <w:t>Status</w:t>
            </w:r>
          </w:p>
        </w:tc>
      </w:tr>
      <w:tr>
        <w:tc>
          <w:tcPr>
            <w:tcW w:type="dxa" w:w="3240"/>
            <w:vAlign w:val="center"/>
          </w:tcPr>
          <w:p>
            <w:pPr>
              <w:spacing w:after="60"/>
              <w:jc w:val="left"/>
            </w:pPr>
            <w:r>
              <w:rPr>
                <w:rFonts w:ascii="Times New Roman" w:hAnsi="Times New Roman" w:eastAsia="Times New Roman"/>
                <w:b w:val="0"/>
                <w:i w:val="0"/>
                <w:color w:val="000000"/>
                <w:sz w:val="18"/>
              </w:rPr>
              <w:t>BONE_FRACTURE_DATASET/cropped_dataset</w:t>
            </w:r>
          </w:p>
        </w:tc>
        <w:tc>
          <w:tcPr>
            <w:tcW w:type="dxa" w:w="1152"/>
            <w:vAlign w:val="center"/>
          </w:tcPr>
          <w:p>
            <w:pPr>
              <w:spacing w:after="60"/>
              <w:jc w:val="left"/>
            </w:pPr>
            <w:r>
              <w:rPr>
                <w:rFonts w:ascii="Times New Roman" w:hAnsi="Times New Roman" w:eastAsia="Times New Roman"/>
                <w:b w:val="0"/>
                <w:i w:val="0"/>
                <w:color w:val="000000"/>
                <w:sz w:val="18"/>
              </w:rPr>
              <w:t>1,927</w:t>
            </w:r>
          </w:p>
        </w:tc>
        <w:tc>
          <w:tcPr>
            <w:tcW w:type="dxa" w:w="1224"/>
            <w:vAlign w:val="center"/>
          </w:tcPr>
          <w:p>
            <w:pPr>
              <w:spacing w:after="60"/>
              <w:jc w:val="left"/>
            </w:pPr>
            <w:r>
              <w:rPr>
                <w:rFonts w:ascii="Times New Roman" w:hAnsi="Times New Roman" w:eastAsia="Times New Roman"/>
                <w:b w:val="0"/>
                <w:i w:val="0"/>
                <w:color w:val="000000"/>
                <w:sz w:val="18"/>
              </w:rPr>
              <w:t>1,897</w:t>
            </w:r>
          </w:p>
        </w:tc>
        <w:tc>
          <w:tcPr>
            <w:tcW w:type="dxa" w:w="936"/>
            <w:vAlign w:val="center"/>
          </w:tcPr>
          <w:p>
            <w:pPr>
              <w:spacing w:after="60"/>
              <w:jc w:val="left"/>
            </w:pPr>
            <w:r>
              <w:rPr>
                <w:rFonts w:ascii="Times New Roman" w:hAnsi="Times New Roman" w:eastAsia="Times New Roman"/>
                <w:b w:val="0"/>
                <w:i w:val="0"/>
                <w:color w:val="000000"/>
                <w:sz w:val="18"/>
              </w:rPr>
              <w:t>0</w:t>
            </w:r>
          </w:p>
        </w:tc>
        <w:tc>
          <w:tcPr>
            <w:tcW w:type="dxa" w:w="2808"/>
            <w:vAlign w:val="center"/>
          </w:tcPr>
          <w:p>
            <w:pPr>
              <w:spacing w:after="60"/>
              <w:jc w:val="left"/>
            </w:pPr>
            <w:r>
              <w:rPr>
                <w:rFonts w:ascii="Times New Roman" w:hAnsi="Times New Roman" w:eastAsia="Times New Roman"/>
                <w:b w:val="0"/>
                <w:i w:val="0"/>
                <w:color w:val="000000"/>
                <w:sz w:val="18"/>
              </w:rPr>
              <w:t>Class labels; provenance not supplied</w:t>
            </w:r>
          </w:p>
        </w:tc>
      </w:tr>
    </w:tbl>
    <w:p>
      <w:pPr>
        <w:keepLines w:val="0"/>
        <w:spacing w:before="0" w:after="40" w:line="240" w:lineRule="auto"/>
        <w:jc w:val="both"/>
      </w:pPr>
    </w:p>
    <w:p>
      <w:pPr>
        <w:keepLines w:val="0"/>
        <w:spacing w:before="0" w:after="100" w:line="240" w:lineRule="auto"/>
        <w:jc w:val="both"/>
      </w:pPr>
      <w:r>
        <w:rPr>
          <w:rFonts w:ascii="Times New Roman" w:hAnsi="Times New Roman" w:eastAsia="Times New Roman"/>
          <w:b w:val="0"/>
          <w:i w:val="0"/>
          <w:color w:val="000000"/>
          <w:sz w:val="20"/>
        </w:rPr>
        <w:t>The guide additionally proposes FracAtlas, two Kaggle fracture datasets, and up to 4,000 GRAZPEDWRI-DX wrist images. Those sources are not present in the checked-in dataset directory and are not counted in the inventory above. FracAtlas should supply the expert-mask evaluation subset after its official annotations are converted and audited. Mask matching in the current preparation script is filename-based; no segmentation metrics should be reported until every image-mask pair is verified.</w:t>
      </w:r>
    </w:p>
    <w:p>
      <w:pPr>
        <w:keepNext/>
        <w:keepLines/>
        <w:spacing w:before="100" w:after="40" w:line="240" w:lineRule="auto"/>
        <w:jc w:val="left"/>
      </w:pPr>
      <w:r>
        <w:rPr>
          <w:rFonts w:ascii="Times New Roman" w:hAnsi="Times New Roman" w:eastAsia="Times New Roman"/>
          <w:b/>
          <w:i w:val="0"/>
          <w:color w:val="000000"/>
          <w:sz w:val="22"/>
        </w:rPr>
        <w:t>3.2 Leakage-aware preparation</w:t>
      </w:r>
    </w:p>
    <w:p>
      <w:pPr>
        <w:keepLines w:val="0"/>
        <w:spacing w:before="0" w:after="100" w:line="240" w:lineRule="auto"/>
        <w:jc w:val="both"/>
      </w:pPr>
      <w:r>
        <w:rPr>
          <w:rFonts w:ascii="Times New Roman" w:hAnsi="Times New Roman" w:eastAsia="Times New Roman"/>
          <w:b w:val="0"/>
          <w:i w:val="0"/>
          <w:color w:val="000000"/>
          <w:sz w:val="20"/>
        </w:rPr>
        <w:t>The preparation script inventories image files in class-named directories, computes SHA-256 hashes, preserves an existing train/validation/test assignment when every exact-duplicate group agrees, and assigns a deterministic grouped split if it does not. Exact duplicates are kept together and collapsed to one sample for model training. The current audit found zero exact-hash groups crossing splits and zero duplicate groups with conflicting labels. Patient or study identifiers are absent, so exact-hash grouping does not rule out near-duplicate or patient-level leakage. All counts and exclusion rules should be rerun after adding sources.</w:t>
      </w:r>
    </w:p>
    <w:p>
      <w:pPr>
        <w:keepNext/>
        <w:keepLines/>
        <w:spacing w:before="100" w:after="40" w:line="240" w:lineRule="auto"/>
        <w:jc w:val="left"/>
      </w:pPr>
      <w:r>
        <w:rPr>
          <w:rFonts w:ascii="Times New Roman" w:hAnsi="Times New Roman" w:eastAsia="Times New Roman"/>
          <w:b/>
          <w:i w:val="0"/>
          <w:color w:val="000000"/>
          <w:sz w:val="24"/>
        </w:rPr>
        <w:t>3.3 Classifier training</w:t>
      </w:r>
    </w:p>
    <w:p>
      <w:pPr>
        <w:keepLines w:val="0"/>
        <w:spacing w:before="0" w:after="100" w:line="240" w:lineRule="auto"/>
        <w:jc w:val="both"/>
      </w:pPr>
      <w:r>
        <w:rPr>
          <w:rFonts w:ascii="Times New Roman" w:hAnsi="Times New Roman" w:eastAsia="Times New Roman"/>
          <w:b w:val="0"/>
          <w:i w:val="0"/>
          <w:color w:val="000000"/>
          <w:sz w:val="20"/>
        </w:rPr>
        <w:t>The implemented classifier candidates are ResNet-50 and DenseNet-121 initialized from ImageNet weights, with a new two-class output head. Grayscale radiographs are replicated to three channels, resized to 448 by 448 pixels, and normalized with ImageNet channel statistics. Training uses class-balanced sampling and AdamW. The classifier head is warmed up for two epochs before fine-tuning the full model. The default run is 20 epochs, with the checkpoint selected by validation AUC when both validation classes are present, otherwise by validation F1. The test split is not used for checkpoint selection. Three independent seeds are required for reported comparisons.</w:t>
      </w:r>
    </w:p>
    <w:p>
      <w:pPr>
        <w:keepNext/>
        <w:keepLines/>
        <w:spacing w:before="100" w:after="40" w:line="240" w:lineRule="auto"/>
        <w:jc w:val="left"/>
      </w:pPr>
      <w:r>
        <w:rPr>
          <w:rFonts w:ascii="Times New Roman" w:hAnsi="Times New Roman" w:eastAsia="Times New Roman"/>
          <w:b/>
          <w:i w:val="0"/>
          <w:color w:val="000000"/>
          <w:sz w:val="24"/>
        </w:rPr>
        <w:t>3.4 CAM generation and pseudo-mask construction</w:t>
      </w:r>
    </w:p>
    <w:p>
      <w:pPr>
        <w:keepLines w:val="0"/>
        <w:spacing w:before="0" w:after="100" w:line="240" w:lineRule="auto"/>
        <w:jc w:val="both"/>
      </w:pPr>
      <w:r>
        <w:rPr>
          <w:rFonts w:ascii="Times New Roman" w:hAnsi="Times New Roman" w:eastAsia="Times New Roman"/>
          <w:b w:val="0"/>
          <w:i w:val="0"/>
          <w:color w:val="000000"/>
          <w:sz w:val="20"/>
        </w:rPr>
        <w:t>The final convolutional block is used to compute Grad-CAM, Grad-CAM++, or LayerCAM for the fracture logit. Optional horizontal-flip test-time averaging combines the original map with the spatially reversed map. CAMs are normalized per image and saved with a manifest index. Global thresholds are swept on validation masks only; Otsu and percentile thresholds are available as alternatives. Binary masks receive 3 by 3 morphological opening and closing. CAMs are classifier evidence maps, so their thresholded outputs are treated as noisy pseudo-labels rather than anatomical ground truth.</w:t>
      </w:r>
    </w:p>
    <w:p>
      <w:pPr>
        <w:keepNext/>
        <w:keepLines/>
        <w:spacing w:before="100" w:after="40" w:line="240" w:lineRule="auto"/>
        <w:jc w:val="left"/>
      </w:pPr>
      <w:r>
        <w:rPr>
          <w:rFonts w:ascii="Times New Roman" w:hAnsi="Times New Roman" w:eastAsia="Times New Roman"/>
          <w:b/>
          <w:i w:val="0"/>
          <w:color w:val="000000"/>
          <w:sz w:val="24"/>
        </w:rPr>
        <w:t>3.5 Metrics and uncertainty</w:t>
      </w:r>
    </w:p>
    <w:p>
      <w:pPr>
        <w:keepLines w:val="0"/>
        <w:spacing w:before="0" w:after="100" w:line="240" w:lineRule="auto"/>
        <w:jc w:val="both"/>
      </w:pPr>
      <w:r>
        <w:rPr>
          <w:rFonts w:ascii="Times New Roman" w:hAnsi="Times New Roman" w:eastAsia="Times New Roman"/>
          <w:b w:val="0"/>
          <w:i w:val="0"/>
          <w:color w:val="000000"/>
          <w:sz w:val="20"/>
        </w:rPr>
        <w:t>Classification reporting will include fracture-class AUC, accuracy, precision, recall, and F1 by source. Localization reporting will include Dice, IoU, precision, recall, and pointing-game accuracy on expert masks. Dice and F1 are algebraically equivalent for binary pixel labels; only Dice will be used for mask overlap. Empty-mask conventions are fixed in the implementation and must be reported with results. Confidence intervals will use 2,000 bootstrap resamples over exact-hash groups. Because patient IDs are unavailable, intervals will not represent patient-level sampling uncertainty. Thresholds will be selected on validation only and applied once to the held-out test split.</w:t>
      </w:r>
    </w:p>
    <w:p>
      <w:pPr>
        <w:keepNext/>
        <w:keepLines/>
        <w:spacing w:before="100" w:after="40" w:line="240" w:lineRule="auto"/>
        <w:jc w:val="left"/>
      </w:pPr>
      <w:r>
        <w:rPr>
          <w:rFonts w:ascii="Times New Roman" w:hAnsi="Times New Roman" w:eastAsia="Times New Roman"/>
          <w:b/>
          <w:i w:val="0"/>
          <w:color w:val="000000"/>
          <w:sz w:val="24"/>
        </w:rPr>
        <w:t>3.6 Segmentation baselines</w:t>
      </w:r>
    </w:p>
    <w:p>
      <w:pPr>
        <w:keepLines w:val="0"/>
        <w:spacing w:before="0" w:after="100" w:line="240" w:lineRule="auto"/>
        <w:jc w:val="both"/>
      </w:pPr>
      <w:r>
        <w:rPr>
          <w:rFonts w:ascii="Times New Roman" w:hAnsi="Times New Roman" w:eastAsia="Times New Roman"/>
          <w:b w:val="0"/>
          <w:i w:val="0"/>
          <w:color w:val="000000"/>
          <w:sz w:val="20"/>
        </w:rPr>
        <w:t>A compact U-Net is implemented for paired binary masks. It can be trained on pseudo-masks or supplied expert masks, but its validation score is agreement with the supplied labels and is not an expert-mask score when pseudo-labels are used. Planned comparisons are a pseudo-mask-trained U-Net, a real-mask-trained upper-bound model, an empty-mask baseline, a central-ellipse baseline, and a deterministic random-mask baseline. Dice loss follows the common soft-overlap formulation used in medical image segmentation (Milletari et al., 2016). These comparisons cannot be run on the current checkout because it contains no expert masks.</w:t>
      </w:r>
    </w:p>
    <w:p>
      <w:pPr>
        <w:keepNext/>
        <w:keepLines/>
        <w:spacing w:before="100" w:after="40" w:line="240" w:lineRule="auto"/>
        <w:jc w:val="left"/>
      </w:pPr>
      <w:r>
        <w:rPr>
          <w:rFonts w:ascii="Times New Roman" w:hAnsi="Times New Roman" w:eastAsia="Times New Roman"/>
          <w:b/>
          <w:i w:val="0"/>
          <w:color w:val="000000"/>
          <w:sz w:val="24"/>
        </w:rPr>
        <w:t>4. Results and Discussion</w:t>
      </w:r>
    </w:p>
    <w:p>
      <w:pPr>
        <w:keepLines w:val="0"/>
        <w:spacing w:before="0" w:after="100" w:line="240" w:lineRule="auto"/>
        <w:jc w:val="both"/>
      </w:pPr>
      <w:r>
        <w:rPr>
          <w:rFonts w:ascii="Times New Roman" w:hAnsi="Times New Roman" w:eastAsia="Times New Roman"/>
          <w:b w:val="0"/>
          <w:i w:val="0"/>
          <w:color w:val="000000"/>
          <w:sz w:val="20"/>
        </w:rPr>
        <w:t>No model training or expert-mask evaluation has been run in this workspace. The available Python runtime does not contain PyTorch, torchvision, scikit-learn, OpenCV, or matplotlib, and the repository contains no pixel masks. Table 2 is a completion ledger, not a results table. Values must be populated from saved outputs after the required experiments; estimated or illustrative values must not be substituted.</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880"/>
        <w:gridCol w:w="1800"/>
        <w:gridCol w:w="4680"/>
      </w:tblGrid>
      <w:tr>
        <w:tc>
          <w:tcPr>
            <w:tcW w:type="dxa" w:w="2880"/>
            <w:vAlign w:val="center"/>
            <w:shd w:fill="1F4E78"/>
          </w:tcPr>
          <w:p>
            <w:pPr>
              <w:spacing w:after="60"/>
              <w:jc w:val="center"/>
            </w:pPr>
            <w:r>
              <w:rPr>
                <w:rFonts w:ascii="Times New Roman" w:hAnsi="Times New Roman" w:eastAsia="Times New Roman"/>
                <w:b/>
                <w:i w:val="0"/>
                <w:color w:val="FFFFFF"/>
                <w:sz w:val="18"/>
              </w:rPr>
              <w:t>Analysis</w:t>
            </w:r>
          </w:p>
        </w:tc>
        <w:tc>
          <w:tcPr>
            <w:tcW w:type="dxa" w:w="1800"/>
            <w:vAlign w:val="center"/>
            <w:shd w:fill="1F4E78"/>
          </w:tcPr>
          <w:p>
            <w:pPr>
              <w:spacing w:after="60"/>
              <w:jc w:val="center"/>
            </w:pPr>
            <w:r>
              <w:rPr>
                <w:rFonts w:ascii="Times New Roman" w:hAnsi="Times New Roman" w:eastAsia="Times New Roman"/>
                <w:b/>
                <w:i w:val="0"/>
                <w:color w:val="FFFFFF"/>
                <w:sz w:val="18"/>
              </w:rPr>
              <w:t>Current status</w:t>
            </w:r>
          </w:p>
        </w:tc>
        <w:tc>
          <w:tcPr>
            <w:tcW w:type="dxa" w:w="4680"/>
            <w:vAlign w:val="center"/>
            <w:shd w:fill="1F4E78"/>
          </w:tcPr>
          <w:p>
            <w:pPr>
              <w:spacing w:after="60"/>
              <w:jc w:val="center"/>
            </w:pPr>
            <w:r>
              <w:rPr>
                <w:rFonts w:ascii="Times New Roman" w:hAnsi="Times New Roman" w:eastAsia="Times New Roman"/>
                <w:b/>
                <w:i w:val="0"/>
                <w:color w:val="FFFFFF"/>
                <w:sz w:val="18"/>
              </w:rPr>
              <w:t>Required evidence</w:t>
            </w:r>
          </w:p>
        </w:tc>
      </w:tr>
      <w:tr>
        <w:tc>
          <w:tcPr>
            <w:tcW w:type="dxa" w:w="2880"/>
            <w:vAlign w:val="center"/>
          </w:tcPr>
          <w:p>
            <w:pPr>
              <w:spacing w:after="60"/>
              <w:jc w:val="left"/>
            </w:pPr>
            <w:r>
              <w:rPr>
                <w:rFonts w:ascii="Times New Roman" w:hAnsi="Times New Roman" w:eastAsia="Times New Roman"/>
                <w:b w:val="0"/>
                <w:i w:val="0"/>
                <w:color w:val="000000"/>
                <w:sz w:val="18"/>
              </w:rPr>
              <w:t>Classifier AUC by source and seed</w:t>
            </w:r>
          </w:p>
        </w:tc>
        <w:tc>
          <w:tcPr>
            <w:tcW w:type="dxa" w:w="1800"/>
            <w:vAlign w:val="center"/>
          </w:tcPr>
          <w:p>
            <w:pPr>
              <w:spacing w:after="60"/>
              <w:jc w:val="left"/>
            </w:pPr>
            <w:r>
              <w:rPr>
                <w:rFonts w:ascii="Times New Roman" w:hAnsi="Times New Roman" w:eastAsia="Times New Roman"/>
                <w:b w:val="0"/>
                <w:i w:val="0"/>
                <w:color w:val="000000"/>
                <w:sz w:val="18"/>
              </w:rPr>
              <w:t>Not run</w:t>
            </w:r>
          </w:p>
        </w:tc>
        <w:tc>
          <w:tcPr>
            <w:tcW w:type="dxa" w:w="4680"/>
            <w:vAlign w:val="center"/>
          </w:tcPr>
          <w:p>
            <w:pPr>
              <w:spacing w:after="60"/>
              <w:jc w:val="left"/>
            </w:pPr>
            <w:r>
              <w:rPr>
                <w:rFonts w:ascii="Times New Roman" w:hAnsi="Times New Roman" w:eastAsia="Times New Roman"/>
                <w:b w:val="0"/>
                <w:i w:val="0"/>
                <w:color w:val="000000"/>
                <w:sz w:val="18"/>
              </w:rPr>
              <w:t>Trained checkpoints and held-out predictions</w:t>
            </w:r>
          </w:p>
        </w:tc>
      </w:tr>
      <w:tr>
        <w:tc>
          <w:tcPr>
            <w:tcW w:type="dxa" w:w="2880"/>
            <w:vAlign w:val="center"/>
            <w:shd w:fill="F2F6FA"/>
          </w:tcPr>
          <w:p>
            <w:pPr>
              <w:spacing w:after="60"/>
              <w:jc w:val="left"/>
            </w:pPr>
            <w:r>
              <w:rPr>
                <w:rFonts w:ascii="Times New Roman" w:hAnsi="Times New Roman" w:eastAsia="Times New Roman"/>
                <w:b w:val="0"/>
                <w:i w:val="0"/>
                <w:color w:val="000000"/>
                <w:sz w:val="18"/>
              </w:rPr>
              <w:t>CAM Dice/IoU and pointing game</w:t>
            </w:r>
          </w:p>
        </w:tc>
        <w:tc>
          <w:tcPr>
            <w:tcW w:type="dxa" w:w="1800"/>
            <w:vAlign w:val="center"/>
            <w:shd w:fill="F2F6FA"/>
          </w:tcPr>
          <w:p>
            <w:pPr>
              <w:spacing w:after="60"/>
              <w:jc w:val="left"/>
            </w:pPr>
            <w:r>
              <w:rPr>
                <w:rFonts w:ascii="Times New Roman" w:hAnsi="Times New Roman" w:eastAsia="Times New Roman"/>
                <w:b w:val="0"/>
                <w:i w:val="0"/>
                <w:color w:val="000000"/>
                <w:sz w:val="18"/>
              </w:rPr>
              <w:t>Not available</w:t>
            </w:r>
          </w:p>
        </w:tc>
        <w:tc>
          <w:tcPr>
            <w:tcW w:type="dxa" w:w="4680"/>
            <w:vAlign w:val="center"/>
            <w:shd w:fill="F2F6FA"/>
          </w:tcPr>
          <w:p>
            <w:pPr>
              <w:spacing w:after="60"/>
              <w:jc w:val="left"/>
            </w:pPr>
            <w:r>
              <w:rPr>
                <w:rFonts w:ascii="Times New Roman" w:hAnsi="Times New Roman" w:eastAsia="Times New Roman"/>
                <w:b w:val="0"/>
                <w:i w:val="0"/>
                <w:color w:val="000000"/>
                <w:sz w:val="18"/>
              </w:rPr>
              <w:t>Verified expert masks; validation and test outputs</w:t>
            </w:r>
          </w:p>
        </w:tc>
      </w:tr>
      <w:tr>
        <w:tc>
          <w:tcPr>
            <w:tcW w:type="dxa" w:w="2880"/>
            <w:vAlign w:val="center"/>
          </w:tcPr>
          <w:p>
            <w:pPr>
              <w:spacing w:after="60"/>
              <w:jc w:val="left"/>
            </w:pPr>
            <w:r>
              <w:rPr>
                <w:rFonts w:ascii="Times New Roman" w:hAnsi="Times New Roman" w:eastAsia="Times New Roman"/>
                <w:b w:val="0"/>
                <w:i w:val="0"/>
                <w:color w:val="000000"/>
                <w:sz w:val="18"/>
              </w:rPr>
              <w:t>Threshold and backbone ablations</w:t>
            </w:r>
          </w:p>
        </w:tc>
        <w:tc>
          <w:tcPr>
            <w:tcW w:type="dxa" w:w="1800"/>
            <w:vAlign w:val="center"/>
          </w:tcPr>
          <w:p>
            <w:pPr>
              <w:spacing w:after="60"/>
              <w:jc w:val="left"/>
            </w:pPr>
            <w:r>
              <w:rPr>
                <w:rFonts w:ascii="Times New Roman" w:hAnsi="Times New Roman" w:eastAsia="Times New Roman"/>
                <w:b w:val="0"/>
                <w:i w:val="0"/>
                <w:color w:val="000000"/>
                <w:sz w:val="18"/>
              </w:rPr>
              <w:t>Not run</w:t>
            </w:r>
          </w:p>
        </w:tc>
        <w:tc>
          <w:tcPr>
            <w:tcW w:type="dxa" w:w="4680"/>
            <w:vAlign w:val="center"/>
          </w:tcPr>
          <w:p>
            <w:pPr>
              <w:spacing w:after="60"/>
              <w:jc w:val="left"/>
            </w:pPr>
            <w:r>
              <w:rPr>
                <w:rFonts w:ascii="Times New Roman" w:hAnsi="Times New Roman" w:eastAsia="Times New Roman"/>
                <w:b w:val="0"/>
                <w:i w:val="0"/>
                <w:color w:val="000000"/>
                <w:sz w:val="18"/>
              </w:rPr>
              <w:t>Three seeds; validation-selected threshold</w:t>
            </w:r>
          </w:p>
        </w:tc>
      </w:tr>
      <w:tr>
        <w:tc>
          <w:tcPr>
            <w:tcW w:type="dxa" w:w="2880"/>
            <w:vAlign w:val="center"/>
            <w:shd w:fill="F2F6FA"/>
          </w:tcPr>
          <w:p>
            <w:pPr>
              <w:spacing w:after="60"/>
              <w:jc w:val="left"/>
            </w:pPr>
            <w:r>
              <w:rPr>
                <w:rFonts w:ascii="Times New Roman" w:hAnsi="Times New Roman" w:eastAsia="Times New Roman"/>
                <w:b w:val="0"/>
                <w:i w:val="0"/>
                <w:color w:val="000000"/>
                <w:sz w:val="18"/>
              </w:rPr>
              <w:t>Pseudo-mask vs real-mask U-Net</w:t>
            </w:r>
          </w:p>
        </w:tc>
        <w:tc>
          <w:tcPr>
            <w:tcW w:type="dxa" w:w="1800"/>
            <w:vAlign w:val="center"/>
            <w:shd w:fill="F2F6FA"/>
          </w:tcPr>
          <w:p>
            <w:pPr>
              <w:spacing w:after="60"/>
              <w:jc w:val="left"/>
            </w:pPr>
            <w:r>
              <w:rPr>
                <w:rFonts w:ascii="Times New Roman" w:hAnsi="Times New Roman" w:eastAsia="Times New Roman"/>
                <w:b w:val="0"/>
                <w:i w:val="0"/>
                <w:color w:val="000000"/>
                <w:sz w:val="18"/>
              </w:rPr>
              <w:t>Not available</w:t>
            </w:r>
          </w:p>
        </w:tc>
        <w:tc>
          <w:tcPr>
            <w:tcW w:type="dxa" w:w="4680"/>
            <w:vAlign w:val="center"/>
            <w:shd w:fill="F2F6FA"/>
          </w:tcPr>
          <w:p>
            <w:pPr>
              <w:spacing w:after="60"/>
              <w:jc w:val="left"/>
            </w:pPr>
            <w:r>
              <w:rPr>
                <w:rFonts w:ascii="Times New Roman" w:hAnsi="Times New Roman" w:eastAsia="Times New Roman"/>
                <w:b w:val="0"/>
                <w:i w:val="0"/>
                <w:color w:val="000000"/>
                <w:sz w:val="18"/>
              </w:rPr>
              <w:t>Expert-mask train/validation/test partitions</w:t>
            </w:r>
          </w:p>
        </w:tc>
      </w:tr>
      <w:tr>
        <w:tc>
          <w:tcPr>
            <w:tcW w:type="dxa" w:w="2880"/>
            <w:vAlign w:val="center"/>
          </w:tcPr>
          <w:p>
            <w:pPr>
              <w:spacing w:after="60"/>
              <w:jc w:val="left"/>
            </w:pPr>
            <w:r>
              <w:rPr>
                <w:rFonts w:ascii="Times New Roman" w:hAnsi="Times New Roman" w:eastAsia="Times New Roman"/>
                <w:b w:val="0"/>
                <w:i w:val="0"/>
                <w:color w:val="000000"/>
                <w:sz w:val="18"/>
              </w:rPr>
              <w:t>Shortcut and trivial baselines</w:t>
            </w:r>
          </w:p>
        </w:tc>
        <w:tc>
          <w:tcPr>
            <w:tcW w:type="dxa" w:w="1800"/>
            <w:vAlign w:val="center"/>
          </w:tcPr>
          <w:p>
            <w:pPr>
              <w:spacing w:after="60"/>
              <w:jc w:val="left"/>
            </w:pPr>
            <w:r>
              <w:rPr>
                <w:rFonts w:ascii="Times New Roman" w:hAnsi="Times New Roman" w:eastAsia="Times New Roman"/>
                <w:b w:val="0"/>
                <w:i w:val="0"/>
                <w:color w:val="000000"/>
                <w:sz w:val="18"/>
              </w:rPr>
              <w:t>Not run</w:t>
            </w:r>
          </w:p>
        </w:tc>
        <w:tc>
          <w:tcPr>
            <w:tcW w:type="dxa" w:w="4680"/>
            <w:vAlign w:val="center"/>
          </w:tcPr>
          <w:p>
            <w:pPr>
              <w:spacing w:after="60"/>
              <w:jc w:val="left"/>
            </w:pPr>
            <w:r>
              <w:rPr>
                <w:rFonts w:ascii="Times New Roman" w:hAnsi="Times New Roman" w:eastAsia="Times New Roman"/>
                <w:b w:val="0"/>
                <w:i w:val="0"/>
                <w:color w:val="000000"/>
                <w:sz w:val="18"/>
              </w:rPr>
              <w:t>Audit CSV and expert-mask baseline CSV</w:t>
            </w:r>
          </w:p>
        </w:tc>
      </w:tr>
    </w:tbl>
    <w:p>
      <w:pPr>
        <w:keepLines w:val="0"/>
        <w:spacing w:before="0" w:after="40" w:line="240" w:lineRule="auto"/>
        <w:jc w:val="both"/>
      </w:pPr>
    </w:p>
    <w:p>
      <w:pPr>
        <w:jc w:val="center"/>
      </w:pPr>
      <w:r>
        <w:drawing>
          <wp:inline xmlns:a="http://schemas.openxmlformats.org/drawingml/2006/main" xmlns:pic="http://schemas.openxmlformats.org/drawingml/2006/picture">
            <wp:extent cx="5394960" cy="2877312"/>
            <wp:docPr id="1" name="Picture 1"/>
            <wp:cNvGraphicFramePr>
              <a:graphicFrameLocks noChangeAspect="1"/>
            </wp:cNvGraphicFramePr>
            <a:graphic>
              <a:graphicData uri="http://schemas.openxmlformats.org/drawingml/2006/picture">
                <pic:pic>
                  <pic:nvPicPr>
                    <pic:cNvPr id="0" name="dataset_distribution.png"/>
                    <pic:cNvPicPr/>
                  </pic:nvPicPr>
                  <pic:blipFill>
                    <a:blip r:embed="rId7"/>
                    <a:stretch>
                      <a:fillRect/>
                    </a:stretch>
                  </pic:blipFill>
                  <pic:spPr>
                    <a:xfrm>
                      <a:off x="0" y="0"/>
                      <a:ext cx="5394960" cy="2877312"/>
                    </a:xfrm>
                    <a:prstGeom prst="rect"/>
                  </pic:spPr>
                </pic:pic>
              </a:graphicData>
            </a:graphic>
          </wp:inline>
        </w:drawing>
      </w:r>
    </w:p>
    <w:p>
      <w:pPr>
        <w:keepLines w:val="0"/>
        <w:spacing w:before="0" w:after="100" w:line="240" w:lineRule="auto"/>
        <w:jc w:val="center"/>
      </w:pPr>
      <w:r>
        <w:rPr>
          <w:rFonts w:ascii="Times New Roman" w:hAnsi="Times New Roman" w:eastAsia="Times New Roman"/>
          <w:b w:val="0"/>
          <w:i w:val="0"/>
          <w:color w:val="000000"/>
          <w:sz w:val="18"/>
        </w:rPr>
        <w:t>Figure 1: Image counts by existing split and class in the repository dataset; these are inventory counts, not model results.</w:t>
      </w:r>
    </w:p>
    <w:p>
      <w:pPr>
        <w:keepLines w:val="0"/>
        <w:spacing w:before="0" w:after="100" w:line="240" w:lineRule="auto"/>
        <w:jc w:val="both"/>
      </w:pPr>
      <w:r>
        <w:rPr>
          <w:rFonts w:ascii="Times New Roman" w:hAnsi="Times New Roman" w:eastAsia="Times New Roman"/>
          <w:b w:val="0"/>
          <w:i w:val="0"/>
          <w:color w:val="000000"/>
          <w:sz w:val="20"/>
        </w:rPr>
        <w:t>No classifier or segmentation model was run for this paper. ResNet-50 and DenseNet-121 are implemented as candidate classifiers, and a compact U-Net is implemented as a segmentation baseline, but the required PyTorch runtime and expert masks were unavailable. The plotted values describe only the indexed image files.</w:t>
      </w:r>
    </w:p>
    <w:p>
      <w:pPr>
        <w:keepNext/>
        <w:keepLines/>
        <w:spacing w:before="100" w:after="40" w:line="240" w:lineRule="auto"/>
        <w:jc w:val="left"/>
      </w:pPr>
      <w:r>
        <w:rPr>
          <w:rFonts w:ascii="Times New Roman" w:hAnsi="Times New Roman" w:eastAsia="Times New Roman"/>
          <w:b/>
          <w:i w:val="0"/>
          <w:color w:val="000000"/>
          <w:sz w:val="24"/>
        </w:rPr>
        <w:t>5. Discussion</w:t>
      </w:r>
    </w:p>
    <w:p>
      <w:pPr>
        <w:keepLines w:val="0"/>
        <w:spacing w:before="0" w:after="100" w:line="240" w:lineRule="auto"/>
        <w:jc w:val="both"/>
      </w:pPr>
      <w:r>
        <w:rPr>
          <w:rFonts w:ascii="Times New Roman" w:hAnsi="Times New Roman" w:eastAsia="Times New Roman"/>
          <w:b w:val="0"/>
          <w:i w:val="0"/>
          <w:color w:val="000000"/>
          <w:sz w:val="20"/>
        </w:rPr>
        <w:t>The present repository supports a leakage-aware classification and localization workflow, but it does not yet support an empirical claim about fracture segmentation quality. The main contribution at this stage is a reproducible protocol that separates validation threshold selection from final test evaluation and makes the data limitations visible. A completed study should compare CAM methods within the same source and split, report source-specific classification behavior, and show successful and failed localization overlays. It should also compare the learned maps with simple baselines and investigate whether image-level acquisition cues predict labels.</w:t>
      </w:r>
    </w:p>
    <w:p>
      <w:pPr>
        <w:keepLines w:val="0"/>
        <w:spacing w:before="0" w:after="100" w:line="240" w:lineRule="auto"/>
        <w:jc w:val="both"/>
      </w:pPr>
      <w:r>
        <w:rPr>
          <w:rFonts w:ascii="Times New Roman" w:hAnsi="Times New Roman" w:eastAsia="Times New Roman"/>
          <w:b w:val="0"/>
          <w:i w:val="0"/>
          <w:color w:val="000000"/>
          <w:sz w:val="20"/>
        </w:rPr>
        <w:t>The low-resolution nature of CAMs may be poorly matched to narrow fracture structures. Mask overlap metrics should therefore be interpreted alongside pointing-game accuracy and representative overlays. Any use of the pseudo-mask trained U-Net must be evaluated against expert annotations on held-out images; agreement with its own pseudo-labels cannot establish clinical boundary accuracy. Results from different anatomical regions or sources should not be pooled without stratification.</w:t>
      </w:r>
    </w:p>
    <w:p>
      <w:pPr>
        <w:keepNext/>
        <w:keepLines/>
        <w:spacing w:before="100" w:after="40" w:line="240" w:lineRule="auto"/>
        <w:jc w:val="left"/>
      </w:pPr>
      <w:r>
        <w:rPr>
          <w:rFonts w:ascii="Times New Roman" w:hAnsi="Times New Roman" w:eastAsia="Times New Roman"/>
          <w:b/>
          <w:i w:val="0"/>
          <w:color w:val="000000"/>
          <w:sz w:val="24"/>
        </w:rPr>
        <w:t>6. Limitations</w:t>
      </w:r>
    </w:p>
    <w:p>
      <w:pPr>
        <w:keepLines w:val="0"/>
        <w:spacing w:before="0" w:after="100" w:line="240" w:lineRule="auto"/>
        <w:jc w:val="both"/>
      </w:pPr>
      <w:r>
        <w:rPr>
          <w:rFonts w:ascii="Times New Roman" w:hAnsi="Times New Roman" w:eastAsia="Times New Roman"/>
          <w:b w:val="0"/>
          <w:i w:val="0"/>
          <w:color w:val="000000"/>
          <w:sz w:val="20"/>
        </w:rPr>
        <w:t>The present dataset inventory contains a single source with undocumented provenance and no expert pixel masks. The source labels, image quality, class definitions, licensing, and collection protocol require verification. Exact hashes do not detect transformed near duplicates or repeated patients. The current code does not parse COCO polygons, use GRAZPEDWRI-DX bounding boxes, perform MedSAM refinement, train a pretrained ResNet-34 U-Net, or provide external validation. The runtime used for this work lacks the deep-learning dependencies needed to train the models. Therefore, no accuracy, localization, segmentation, robustness, or clinical utility claim is supported at this time.</w:t>
      </w:r>
    </w:p>
    <w:p>
      <w:pPr>
        <w:keepNext/>
        <w:keepLines/>
        <w:spacing w:before="100" w:after="40" w:line="240" w:lineRule="auto"/>
        <w:jc w:val="left"/>
      </w:pPr>
      <w:r>
        <w:rPr>
          <w:rFonts w:ascii="Times New Roman" w:hAnsi="Times New Roman" w:eastAsia="Times New Roman"/>
          <w:b/>
          <w:i w:val="0"/>
          <w:color w:val="000000"/>
          <w:sz w:val="24"/>
        </w:rPr>
        <w:t>7. Conclusion</w:t>
      </w:r>
    </w:p>
    <w:p>
      <w:pPr>
        <w:keepLines w:val="0"/>
        <w:spacing w:before="0" w:after="100" w:line="240" w:lineRule="auto"/>
        <w:jc w:val="both"/>
      </w:pPr>
      <w:r>
        <w:rPr>
          <w:rFonts w:ascii="Times New Roman" w:hAnsi="Times New Roman" w:eastAsia="Times New Roman"/>
          <w:b w:val="0"/>
          <w:i w:val="0"/>
          <w:color w:val="000000"/>
          <w:sz w:val="20"/>
        </w:rPr>
        <w:t>This manuscript defines a weakly supervised fracture localization pipeline and reports the exact data status of the current repository. The audit found 1,927 class-labeled images, 1,897 unique exact-image hashes, and no paired expert masks. The empirical study remains incomplete. Publication claims should be added only after the intended sources are documented, expert-mask pairs are validated, multi-seed experiments and baselines are run, and the held-out test set is evaluated once using thresholds selected on validation data.</w:t>
      </w:r>
    </w:p>
    <w:p>
      <w:pPr>
        <w:keepNext/>
        <w:keepLines/>
        <w:spacing w:before="100" w:after="40" w:line="240" w:lineRule="auto"/>
        <w:jc w:val="left"/>
      </w:pPr>
      <w:r>
        <w:rPr>
          <w:rFonts w:ascii="Times New Roman" w:hAnsi="Times New Roman" w:eastAsia="Times New Roman"/>
          <w:b/>
          <w:i w:val="0"/>
          <w:color w:val="000000"/>
          <w:sz w:val="24"/>
        </w:rPr>
        <w:t>Acknowledgements</w:t>
      </w:r>
    </w:p>
    <w:p>
      <w:pPr>
        <w:keepLines w:val="0"/>
        <w:spacing w:before="0" w:after="100" w:line="240" w:lineRule="auto"/>
        <w:jc w:val="left"/>
      </w:pPr>
      <w:r>
        <w:rPr>
          <w:rFonts w:ascii="Times New Roman" w:hAnsi="Times New Roman" w:eastAsia="Times New Roman"/>
          <w:b w:val="0"/>
          <w:i w:val="0"/>
          <w:color w:val="000000"/>
          <w:sz w:val="20"/>
        </w:rPr>
        <w:t>[Add only verified funding, facilities, or contributor acknowledgements.]</w:t>
      </w:r>
    </w:p>
    <w:p>
      <w:pPr>
        <w:keepNext/>
        <w:keepLines/>
        <w:spacing w:before="100" w:after="40" w:line="240" w:lineRule="auto"/>
        <w:jc w:val="left"/>
      </w:pPr>
      <w:r>
        <w:rPr>
          <w:rFonts w:ascii="Times New Roman" w:hAnsi="Times New Roman" w:eastAsia="Times New Roman"/>
          <w:b/>
          <w:i w:val="0"/>
          <w:color w:val="000000"/>
          <w:sz w:val="24"/>
        </w:rPr>
        <w:t>References</w:t>
      </w:r>
    </w:p>
    <w:p>
      <w:pPr>
        <w:keepLines w:val="0"/>
        <w:spacing w:before="0" w:after="80" w:line="240" w:lineRule="auto"/>
        <w:ind w:left="360" w:hanging="360"/>
        <w:jc w:val="left"/>
      </w:pPr>
      <w:r>
        <w:rPr>
          <w:rFonts w:ascii="Times New Roman" w:hAnsi="Times New Roman" w:eastAsia="Times New Roman"/>
          <w:b w:val="0"/>
          <w:i w:val="0"/>
          <w:color w:val="000000"/>
          <w:sz w:val="18"/>
        </w:rPr>
        <w:t>Abedeen, I., Rahman, M. A., Prottyasha, F. Z., Ahmed, T., Chowdhury, T. M., and Shatabda, S., FracAtlas: A Dataset for Fracture Classification, Localization and Segmentation of Musculoskeletal Radiographs, Scientific Data, vol. 10, 521, 2023. https://doi.org/10.1038/s41597-023-02432-4.</w:t>
      </w:r>
    </w:p>
    <w:p>
      <w:pPr>
        <w:keepLines w:val="0"/>
        <w:spacing w:before="0" w:after="80" w:line="240" w:lineRule="auto"/>
        <w:ind w:left="360" w:hanging="360"/>
        <w:jc w:val="left"/>
      </w:pPr>
      <w:r>
        <w:rPr>
          <w:rFonts w:ascii="Times New Roman" w:hAnsi="Times New Roman" w:eastAsia="Times New Roman"/>
          <w:b w:val="0"/>
          <w:i w:val="0"/>
          <w:color w:val="000000"/>
          <w:sz w:val="18"/>
        </w:rPr>
        <w:t>Ahn, J., and Kwak, S., Learning Pixel-Level Semantic Affinity With Image-Level Supervision for Weakly Supervised Semantic Segmentation, Proceedings of the IEEE Conference on Computer Vision and Pattern Recognition, pp. 4981-4990, 2018. https://doi.org/10.1109/CVPR.2018.00523.</w:t>
      </w:r>
    </w:p>
    <w:p>
      <w:pPr>
        <w:keepLines w:val="0"/>
        <w:spacing w:before="0" w:after="80" w:line="240" w:lineRule="auto"/>
        <w:ind w:left="360" w:hanging="360"/>
        <w:jc w:val="left"/>
      </w:pPr>
      <w:r>
        <w:rPr>
          <w:rFonts w:ascii="Times New Roman" w:hAnsi="Times New Roman" w:eastAsia="Times New Roman"/>
          <w:b w:val="0"/>
          <w:i w:val="0"/>
          <w:color w:val="000000"/>
          <w:sz w:val="18"/>
        </w:rPr>
        <w:t>Chattopadhyay, A., Sarkar, A., Howlader, P., and Balasubramanian, V. N., Grad-CAM++: Generalized Gradient-Based Visual Explanations for Deep Convolutional Networks, Proceedings of the IEEE/CVF Winter Conference on Applications of Computer Vision, pp. 839-847, 2018. https://doi.org/10.1109/WACV.2018.00097.</w:t>
      </w:r>
    </w:p>
    <w:p>
      <w:pPr>
        <w:keepLines w:val="0"/>
        <w:spacing w:before="0" w:after="80" w:line="240" w:lineRule="auto"/>
        <w:ind w:left="360" w:hanging="360"/>
        <w:jc w:val="left"/>
      </w:pPr>
      <w:r>
        <w:rPr>
          <w:rFonts w:ascii="Times New Roman" w:hAnsi="Times New Roman" w:eastAsia="Times New Roman"/>
          <w:b w:val="0"/>
          <w:i w:val="0"/>
          <w:color w:val="000000"/>
          <w:sz w:val="18"/>
        </w:rPr>
        <w:t>Efron, B., Bootstrap Methods: Another Look at the Jackknife, The Annals of Statistics, vol. 7, no. 1, pp. 1-26, 1979. https://doi.org/10.1214/aos/1176344552.</w:t>
      </w:r>
    </w:p>
    <w:p>
      <w:pPr>
        <w:keepLines w:val="0"/>
        <w:spacing w:before="0" w:after="80" w:line="240" w:lineRule="auto"/>
        <w:ind w:left="360" w:hanging="360"/>
        <w:jc w:val="left"/>
      </w:pPr>
      <w:r>
        <w:rPr>
          <w:rFonts w:ascii="Times New Roman" w:hAnsi="Times New Roman" w:eastAsia="Times New Roman"/>
          <w:b w:val="0"/>
          <w:i w:val="0"/>
          <w:color w:val="000000"/>
          <w:sz w:val="18"/>
        </w:rPr>
        <w:t>Fu, J., Wang, G., Lu, T., Yue, Q., Vercauteren, T., Ourselin, S., and Zhang, S., UM-CAM: Uncertainty-Weighted Multi-Resolution Class Activation Maps for Weakly-Supervised Segmentation, Pattern Recognition, vol. 160, 111204, 2025. https://doi.org/10.1016/j.patcog.2024.111204.</w:t>
      </w:r>
    </w:p>
    <w:p>
      <w:pPr>
        <w:keepLines w:val="0"/>
        <w:spacing w:before="0" w:after="80" w:line="240" w:lineRule="auto"/>
        <w:ind w:left="360" w:hanging="360"/>
        <w:jc w:val="left"/>
      </w:pPr>
      <w:r>
        <w:rPr>
          <w:rFonts w:ascii="Times New Roman" w:hAnsi="Times New Roman" w:eastAsia="Times New Roman"/>
          <w:b w:val="0"/>
          <w:i w:val="0"/>
          <w:color w:val="000000"/>
          <w:sz w:val="18"/>
        </w:rPr>
        <w:t>Geirhos, R., Jacobsen, J.-H., Michaelis, C., Zemel, R., Brendel, W., Bethge, M., and Wichmann, F. A., Shortcut Learning in Deep Neural Networks, Nature Machine Intelligence, vol. 2, pp. 665-673, 2020. https://doi.org/10.1038/s42256-020-00257-z.</w:t>
      </w:r>
    </w:p>
    <w:p>
      <w:pPr>
        <w:keepLines w:val="0"/>
        <w:spacing w:before="0" w:after="80" w:line="240" w:lineRule="auto"/>
        <w:ind w:left="360" w:hanging="360"/>
        <w:jc w:val="left"/>
      </w:pPr>
      <w:r>
        <w:rPr>
          <w:rFonts w:ascii="Times New Roman" w:hAnsi="Times New Roman" w:eastAsia="Times New Roman"/>
          <w:b w:val="0"/>
          <w:i w:val="0"/>
          <w:color w:val="000000"/>
          <w:sz w:val="18"/>
        </w:rPr>
        <w:t>He, K., Zhang, X., Ren, S., and Sun, J., Deep Residual Learning for Image Recognition, Proceedings of the IEEE Conference on Computer Vision and Pattern Recognition, pp. 770-778, 2016. https://doi.org/10.1109/CVPR.2016.90.</w:t>
      </w:r>
    </w:p>
    <w:p>
      <w:pPr>
        <w:keepLines w:val="0"/>
        <w:spacing w:before="0" w:after="80" w:line="240" w:lineRule="auto"/>
        <w:ind w:left="360" w:hanging="360"/>
        <w:jc w:val="left"/>
      </w:pPr>
      <w:r>
        <w:rPr>
          <w:rFonts w:ascii="Times New Roman" w:hAnsi="Times New Roman" w:eastAsia="Times New Roman"/>
          <w:b w:val="0"/>
          <w:i w:val="0"/>
          <w:color w:val="000000"/>
          <w:sz w:val="18"/>
        </w:rPr>
        <w:t>Huang, G., Liu, Z., van der Maaten, L., and Weinberger, K. Q., Densely Connected Convolutional Networks, Proceedings of the IEEE Conference on Computer Vision and Pattern Recognition, pp. 4700-4708, 2017.</w:t>
      </w:r>
    </w:p>
    <w:p>
      <w:pPr>
        <w:keepLines w:val="0"/>
        <w:spacing w:before="0" w:after="80" w:line="240" w:lineRule="auto"/>
        <w:ind w:left="360" w:hanging="360"/>
        <w:jc w:val="left"/>
      </w:pPr>
      <w:r>
        <w:rPr>
          <w:rFonts w:ascii="Times New Roman" w:hAnsi="Times New Roman" w:eastAsia="Times New Roman"/>
          <w:b w:val="0"/>
          <w:i w:val="0"/>
          <w:color w:val="000000"/>
          <w:sz w:val="18"/>
        </w:rPr>
        <w:t>Jiang, P.-T., Zhang, C.-B., Hou, Q., Cheng, M.-M., and Wei, Y., LayerCAM: Exploring Hierarchical Class Activation Maps for Localization, IEEE Transactions on Image Processing, vol. 30, pp. 5875-5888, 2021. https://doi.org/10.1109/TIP.2021.3089943.</w:t>
      </w:r>
    </w:p>
    <w:p>
      <w:pPr>
        <w:keepLines w:val="0"/>
        <w:spacing w:before="0" w:after="80" w:line="240" w:lineRule="auto"/>
        <w:ind w:left="360" w:hanging="360"/>
        <w:jc w:val="left"/>
      </w:pPr>
      <w:r>
        <w:rPr>
          <w:rFonts w:ascii="Times New Roman" w:hAnsi="Times New Roman" w:eastAsia="Times New Roman"/>
          <w:b w:val="0"/>
          <w:i w:val="0"/>
          <w:color w:val="000000"/>
          <w:sz w:val="18"/>
        </w:rPr>
        <w:t>Lei, J., Yang, G., Wang, S., Feng, Z., and Liang, R., DCAM: Disturbed Class Activation Maps for Weakly Supervised Semantic Segmentation, Journal of Visual Communication and Image Representation, vol. 94, 103852, 2023. https://doi.org/10.1016/j.jvcir.2023.103852.</w:t>
      </w:r>
    </w:p>
    <w:p>
      <w:pPr>
        <w:keepLines w:val="0"/>
        <w:spacing w:before="0" w:after="80" w:line="240" w:lineRule="auto"/>
        <w:ind w:left="360" w:hanging="360"/>
        <w:jc w:val="left"/>
      </w:pPr>
      <w:r>
        <w:rPr>
          <w:rFonts w:ascii="Times New Roman" w:hAnsi="Times New Roman" w:eastAsia="Times New Roman"/>
          <w:b w:val="0"/>
          <w:i w:val="0"/>
          <w:color w:val="000000"/>
          <w:sz w:val="18"/>
        </w:rPr>
        <w:t>Milletari, F., Navab, N., and Ahmadi, S.-A., V-Net: Fully Convolutional Neural Networks for Volumetric Medical Image Segmentation, Proceedings of the Fourth International Conference on 3D Vision, pp. 565-571, 2016. https://doi.org/10.1109/3DV.2016.79.</w:t>
      </w:r>
    </w:p>
    <w:p>
      <w:pPr>
        <w:keepLines w:val="0"/>
        <w:spacing w:before="0" w:after="80" w:line="240" w:lineRule="auto"/>
        <w:ind w:left="360" w:hanging="360"/>
        <w:jc w:val="left"/>
      </w:pPr>
      <w:r>
        <w:rPr>
          <w:rFonts w:ascii="Times New Roman" w:hAnsi="Times New Roman" w:eastAsia="Times New Roman"/>
          <w:b w:val="0"/>
          <w:i w:val="0"/>
          <w:color w:val="000000"/>
          <w:sz w:val="18"/>
        </w:rPr>
        <w:t>Nagy, E., Janisch, M., Hržić, F., Sorantin, E., and Tschauner, S., A Pediatric Wrist Trauma X-Ray Dataset (GRAZPEDWRI-DX) for Machine Learning, Scientific Data, vol. 9, 222, 2022. https://doi.org/10.1038/s41597-022-01328-z.</w:t>
      </w:r>
    </w:p>
    <w:p>
      <w:pPr>
        <w:keepLines w:val="0"/>
        <w:spacing w:before="0" w:after="80" w:line="240" w:lineRule="auto"/>
        <w:ind w:left="360" w:hanging="360"/>
        <w:jc w:val="left"/>
      </w:pPr>
      <w:r>
        <w:rPr>
          <w:rFonts w:ascii="Times New Roman" w:hAnsi="Times New Roman" w:eastAsia="Times New Roman"/>
          <w:b w:val="0"/>
          <w:i w:val="0"/>
          <w:color w:val="000000"/>
          <w:sz w:val="18"/>
        </w:rPr>
        <w:t>Otsu, N., A Threshold Selection Method from Gray-Level Histograms, IEEE Transactions on Systems, Man, and Cybernetics, vol. 9, no. 1, pp. 62-66, 1979. https://doi.org/10.1109/TSMC.1979.4310076.</w:t>
      </w:r>
    </w:p>
    <w:p>
      <w:pPr>
        <w:keepLines w:val="0"/>
        <w:spacing w:before="0" w:after="80" w:line="240" w:lineRule="auto"/>
        <w:ind w:left="360" w:hanging="360"/>
        <w:jc w:val="left"/>
      </w:pPr>
      <w:r>
        <w:rPr>
          <w:rFonts w:ascii="Times New Roman" w:hAnsi="Times New Roman" w:eastAsia="Times New Roman"/>
          <w:b w:val="0"/>
          <w:i w:val="0"/>
          <w:color w:val="000000"/>
          <w:sz w:val="18"/>
        </w:rPr>
        <w:t>Ronneberger, O., Fischer, P., and Brox, T., U-Net: Convolutional Networks for Biomedical Image Segmentation, Medical Image Computing and Computer-Assisted Intervention, Lecture Notes in Computer Science, vol. 9351, pp. 234-241, 2015. https://doi.org/10.1007/978-3-319-24574-4_28.</w:t>
      </w:r>
    </w:p>
    <w:p>
      <w:pPr>
        <w:keepLines w:val="0"/>
        <w:spacing w:before="0" w:after="80" w:line="240" w:lineRule="auto"/>
        <w:ind w:left="360" w:hanging="360"/>
        <w:jc w:val="left"/>
      </w:pPr>
      <w:r>
        <w:rPr>
          <w:rFonts w:ascii="Times New Roman" w:hAnsi="Times New Roman" w:eastAsia="Times New Roman"/>
          <w:b w:val="0"/>
          <w:i w:val="0"/>
          <w:color w:val="000000"/>
          <w:sz w:val="18"/>
        </w:rPr>
        <w:t>Selvaraju, R. R., Cogswell, M., Das, A., Vedantam, R., Parikh, D., and Batra, D., Grad-CAM: Visual Explanations From Deep Networks via Gradient-Based Localization, Proceedings of the IEEE International Conference on Computer Vision, pp. 618-626, 2017. https://doi.org/10.1109/ICCV.2017.74.</w:t>
      </w:r>
    </w:p>
    <w:p>
      <w:pPr>
        <w:keepLines w:val="0"/>
        <w:spacing w:before="0" w:after="80" w:line="240" w:lineRule="auto"/>
        <w:ind w:left="360" w:hanging="360"/>
        <w:jc w:val="left"/>
      </w:pPr>
      <w:r>
        <w:rPr>
          <w:rFonts w:ascii="Times New Roman" w:hAnsi="Times New Roman" w:eastAsia="Times New Roman"/>
          <w:b w:val="0"/>
          <w:i w:val="0"/>
          <w:color w:val="000000"/>
          <w:sz w:val="18"/>
        </w:rPr>
        <w:t>Zhou, B., Khosla, A., Lapedriza, A., Oliva, A., and Torralba, A., Learning Deep Features for Discriminative Localization, Proceedings of the IEEE Conference on Computer Vision and Pattern Recognition, pp. 2921-2929, 2016.</w:t>
      </w:r>
    </w:p>
    <w:p>
      <w:pPr>
        <w:keepNext/>
        <w:keepLines/>
        <w:spacing w:before="100" w:after="40" w:line="240" w:lineRule="auto"/>
        <w:jc w:val="left"/>
      </w:pPr>
      <w:r>
        <w:rPr>
          <w:rFonts w:ascii="Times New Roman" w:hAnsi="Times New Roman" w:eastAsia="Times New Roman"/>
          <w:b/>
          <w:i w:val="0"/>
          <w:color w:val="000000"/>
          <w:sz w:val="24"/>
        </w:rPr>
        <w:t>Biographies</w:t>
      </w:r>
    </w:p>
    <w:p>
      <w:pPr>
        <w:keepLines w:val="0"/>
        <w:spacing w:before="0" w:after="100" w:line="240" w:lineRule="auto"/>
        <w:jc w:val="left"/>
      </w:pPr>
      <w:r>
        <w:rPr>
          <w:rFonts w:ascii="Times New Roman" w:hAnsi="Times New Roman" w:eastAsia="Times New Roman"/>
          <w:b w:val="0"/>
          <w:i w:val="0"/>
          <w:color w:val="000000"/>
          <w:sz w:val="20"/>
        </w:rPr>
        <w:t>Shibli Sanjid Faheem is an undergraduate student in Computer Science and Engineering with a minor in Management Information Systems at Independent University, Bangladesh.</w:t>
      </w:r>
    </w:p>
    <w:p>
      <w:pPr>
        <w:keepLines w:val="0"/>
        <w:spacing w:before="0" w:after="100" w:line="240" w:lineRule="auto"/>
        <w:jc w:val="left"/>
      </w:pPr>
      <w:r>
        <w:rPr>
          <w:rFonts w:ascii="Times New Roman" w:hAnsi="Times New Roman" w:eastAsia="Times New Roman"/>
          <w:b w:val="0"/>
          <w:i w:val="0"/>
          <w:color w:val="000000"/>
          <w:sz w:val="20"/>
        </w:rPr>
        <w:t>Yousuf Abdullah is a co-author of this study and is affiliated with the Department of Computer Science and Engineering, Independent University, Bangladesh.</w:t>
      </w:r>
    </w:p>
    <w:sectPr w:rsidR="00544A4A">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889DA" w14:textId="77777777" w:rsidR="0090584D" w:rsidRDefault="0090584D">
      <w:r>
        <w:separator/>
      </w:r>
    </w:p>
  </w:endnote>
  <w:endnote w:type="continuationSeparator" w:id="0">
    <w:p w14:paraId="258C7273" w14:textId="77777777" w:rsidR="0090584D" w:rsidRDefault="009058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B4F65" w14:textId="77777777" w:rsidR="00544A4A" w:rsidRDefault="0090584D">
    <w:pPr>
      <w:jc w:val="center"/>
    </w:pPr>
    <w:r>
      <w:t>© IEOM Society International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967B50" w14:textId="77777777" w:rsidR="0090584D" w:rsidRDefault="0090584D">
      <w:r>
        <w:separator/>
      </w:r>
    </w:p>
  </w:footnote>
  <w:footnote w:type="continuationSeparator" w:id="0">
    <w:p w14:paraId="5A4D70D0" w14:textId="77777777" w:rsidR="0090584D" w:rsidRDefault="009058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37364" w14:textId="77777777" w:rsidR="00544A4A" w:rsidRDefault="0090584D">
    <w:r>
      <w:rPr>
        <w:sz w:val="18"/>
        <w:szCs w:val="18"/>
      </w:rPr>
      <w:t>Proceedings of the 9t</w:t>
    </w:r>
    <w:r>
      <w:rPr>
        <w:sz w:val="18"/>
        <w:szCs w:val="18"/>
      </w:rPr>
      <w:t>h Bangladesh International Conference on Industrial Engineering and Operations Management, Dhaka, Bangladesh, December 26-27,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4747DE"/>
    <w:multiLevelType w:val="hybridMultilevel"/>
    <w:tmpl w:val="A86E2106"/>
    <w:lvl w:ilvl="0" w:tplc="69542502">
      <w:start w:val="1"/>
      <w:numFmt w:val="bullet"/>
      <w:lvlText w:val="●"/>
      <w:lvlJc w:val="left"/>
      <w:pPr>
        <w:ind w:left="720" w:hanging="360"/>
      </w:pPr>
    </w:lvl>
    <w:lvl w:ilvl="1" w:tplc="09989106">
      <w:start w:val="1"/>
      <w:numFmt w:val="bullet"/>
      <w:lvlText w:val="○"/>
      <w:lvlJc w:val="left"/>
      <w:pPr>
        <w:ind w:left="1440" w:hanging="360"/>
      </w:pPr>
    </w:lvl>
    <w:lvl w:ilvl="2" w:tplc="306ACB0A">
      <w:start w:val="1"/>
      <w:numFmt w:val="bullet"/>
      <w:lvlText w:val="■"/>
      <w:lvlJc w:val="left"/>
      <w:pPr>
        <w:ind w:left="2160" w:hanging="360"/>
      </w:pPr>
    </w:lvl>
    <w:lvl w:ilvl="3" w:tplc="CB5C3396">
      <w:start w:val="1"/>
      <w:numFmt w:val="bullet"/>
      <w:lvlText w:val="●"/>
      <w:lvlJc w:val="left"/>
      <w:pPr>
        <w:ind w:left="2880" w:hanging="360"/>
      </w:pPr>
    </w:lvl>
    <w:lvl w:ilvl="4" w:tplc="728A85B2">
      <w:start w:val="1"/>
      <w:numFmt w:val="bullet"/>
      <w:lvlText w:val="○"/>
      <w:lvlJc w:val="left"/>
      <w:pPr>
        <w:ind w:left="3600" w:hanging="360"/>
      </w:pPr>
    </w:lvl>
    <w:lvl w:ilvl="5" w:tplc="8892E7CC">
      <w:start w:val="1"/>
      <w:numFmt w:val="bullet"/>
      <w:lvlText w:val="■"/>
      <w:lvlJc w:val="left"/>
      <w:pPr>
        <w:ind w:left="4320" w:hanging="360"/>
      </w:pPr>
    </w:lvl>
    <w:lvl w:ilvl="6" w:tplc="35F679EC">
      <w:start w:val="1"/>
      <w:numFmt w:val="bullet"/>
      <w:lvlText w:val="●"/>
      <w:lvlJc w:val="left"/>
      <w:pPr>
        <w:ind w:left="5040" w:hanging="360"/>
      </w:pPr>
    </w:lvl>
    <w:lvl w:ilvl="7" w:tplc="F348D116">
      <w:start w:val="1"/>
      <w:numFmt w:val="bullet"/>
      <w:lvlText w:val="●"/>
      <w:lvlJc w:val="left"/>
      <w:pPr>
        <w:ind w:left="5760" w:hanging="360"/>
      </w:pPr>
    </w:lvl>
    <w:lvl w:ilvl="8" w:tplc="DE68FFC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4A4A"/>
    <w:rsid w:val="00544A4A"/>
    <w:rsid w:val="005872FF"/>
    <w:rsid w:val="0090584D"/>
    <w:rsid w:val="00DC5A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1CE5A"/>
  <w15:docId w15:val="{D9218FB0-1D0C-404E-B25A-6DB643A00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4" Type="http://schemas.openxmlformats.org/officeDocument/2006/relationships/webSettings" Target="webSettings.xml"/><Relationship Id="rId14" Type="http://schemas.openxmlformats.org/officeDocument/2006/relationships/theme" Target="theme/theme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4907</Words>
  <Characters>27972</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USER</cp:lastModifiedBy>
  <cp:revision>3</cp:revision>
  <dcterms:created xsi:type="dcterms:W3CDTF">2026-10-24T06:51:00Z</dcterms:created>
  <dcterms:modified xsi:type="dcterms:W3CDTF">2026-10-24T07:25:00Z</dcterms:modified>
  <dc:title>IEOM paper format template</dc:title>
  <dc:subject>Content-cleared formatting template derived from the author-supplied IEOM manuscript</dc:subject>
</cp:coreProperties>
</file>