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56"/>
          <w:szCs w:val="56"/>
          <w:u w:val="none"/>
          <w:shd w:fill="auto" w:val="clear"/>
          <w:vertAlign w:val="baseline"/>
          <w:rtl w:val="0"/>
        </w:rPr>
        <w:t xml:space="preserve">Real-Time Fraud Detection System with Explainable 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8c8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8c8d"/>
          <w:sz w:val="32"/>
          <w:szCs w:val="32"/>
          <w:u w:val="none"/>
          <w:shd w:fill="auto" w:val="clear"/>
          <w:vertAlign w:val="baseline"/>
          <w:rtl w:val="0"/>
        </w:rPr>
        <w:t xml:space="preserve">Strategic Overview and Business Impact Analysis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Domain: AI &amp; Data Analytics | Level: Advanced</w:t>
        <w:br w:type="textWrapping"/>
      </w:r>
      <w:r w:rsidDel="00000000" w:rsidR="00000000" w:rsidRPr="00000000">
        <w:rPr>
          <w:rtl w:val="0"/>
        </w:rPr>
        <w:t xml:space="preserve">Dataset: IEEE-CIS Fraud Detection (Kaggle)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Project Overview &amp; Operational Strategy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report outlines an end-to-end fraud detection pipeline designed to intercept highly sophisticated, automated attacks in real-time environments. The architecture includes comprehensive data merging, class imbalance handling via SMOTE, and model comparisons between LightGBM, XGBoost, and Isolation Forest.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 Selection: LightGBM for High-Frequency Threat Detection</w:t>
        <w:br w:type="textWrapping"/>
      </w:r>
      <w:r w:rsidDel="00000000" w:rsidR="00000000" w:rsidRPr="00000000">
        <w:rPr>
          <w:rtl w:val="0"/>
        </w:rPr>
        <w:t xml:space="preserve">Following a rigorous evaluation, LightGBM was selected as the foundational engine for this production environment. It achieved the highest robustness scores (</w:t>
      </w:r>
      <w:r w:rsidDel="00000000" w:rsidR="00000000" w:rsidRPr="00000000">
        <w:rPr>
          <w:b w:val="1"/>
          <w:bCs w:val="1"/>
          <w:color w:val="c0392b"/>
          <w:rtl w:val="0"/>
        </w:rPr>
        <w:t xml:space="preserve">ROC-AUC ~0.91, PR-AUC ~0.61</w:t>
      </w:r>
      <w:r w:rsidDel="00000000" w:rsidR="00000000" w:rsidRPr="00000000">
        <w:rPr>
          <w:rtl w:val="0"/>
        </w:rPr>
        <w:t xml:space="preserve">), aligning perfectly with the operational demands of modern e-commerce. Its highly optimized memory utilization enables sub-second scoring latency, ensuring legitimate transactions are processed without introducing conversion-killing friction at checkout.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The Strategic Evaluation Framework &amp; Class Imbalance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an operational environment characterized by extreme class imbalance (a baseline fraud rate of just 3.5%), traditional metrics like "Accuracy" are deeply misleading. A baseline model configured to blindly approve every transaction would boast a 96.5% accuracy rate while facilitating 100% of attempted fraud.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114800" cy="23237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23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ensure the algorithmic output translates directly into business value, the model was optimized against the Precision-Recall Area Under Curve (PR-AUC). This metric directly balances the dual mandate of the risk operations team: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Precision (Preserving Customer Experience &amp; Reducing Operational Overhead):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Maximizing precision ensures that when a transaction is flagged, the likelihood of actual fraud is exceptionally high.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Recall (Financial Loss Prevention):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Maximizing recall measures the total volume of fraudulent activity successfully intercepted by the system.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Behavioral Threat Intelligence (Explainable AI via SHAP)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By interrogating the model’s internal decision-making architecture using SHAP (SHapley Additive exPlanations) values, we extracted three critical behavioral signatures that define our most pervasive threats: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The Midnight Anomaly (HourOfDay):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Transactions occurring during the 22:00–03:00 UTC window contribute the heaviest predictive weight.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Account Velocity Spikes (AmtToMeanRatio):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Transaction amounts that violently deviate from a user’s historical baseline trigger an immediate increase in risk scoring.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Compromised Infrastructure Over-representation (card4 / card6):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Specific intersections of card networks and funding types are drastically over-represented within the fraud class.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315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Financial Impact and Estimated Annual ROI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deployment of this model represents a massive defensive asset for the organization's balance sheet: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Test Environment Baseline: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Within a constrained test sample, 4,133 authentic fraud attempts were recorded.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Capital Preservation: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algorithm prevented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392b"/>
          <w:sz w:val="22"/>
          <w:szCs w:val="22"/>
          <w:u w:val="none"/>
          <w:shd w:fill="auto" w:val="clear"/>
          <w:vertAlign w:val="baseline"/>
          <w:rtl w:val="0"/>
        </w:rPr>
        <w:t xml:space="preserve">$971,500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 direct financial loss within the test window alone.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Annualized Enterprise Value: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When extrapolated across a standard 52-week operational cycle, this detection pipeline is projected to prevent an estimated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392b"/>
          <w:sz w:val="22"/>
          <w:szCs w:val="22"/>
          <w:u w:val="none"/>
          <w:shd w:fill="auto" w:val="clear"/>
          <w:vertAlign w:val="baseline"/>
          <w:rtl w:val="0"/>
        </w:rPr>
        <w:t xml:space="preserve">$50.5 Million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in fraudulent losses annually.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2000" cy="257092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Strategic Roadmap: Limitations &amp; V2.0 Data Needs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push the detection capabilities even further in the next iteration, we must address the following: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Combating Feature Drift: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Fraud rings adapt quickly. The model must be placed on an automated CI/CD pipeline for monthly retraining to learn new attack vectors.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Identity Resolution: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Over 76% of identity-based features were missing. Partnering with a third-party vendor to enrich IP geolocation, device fingerprinting, and shared-email graphs will drastically improve precision.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• Graph &amp; Velocity Features (V2.0):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Future models should ingest real-time rolling metrics (e.g., "logins per IP in the last 15 minutes") and merchant category risk scores, moving us from static transaction scoring to dynamic behavioral tracking.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rFonts w:ascii="Arial" w:cs="Arial" w:eastAsia="Arial" w:hAnsi="Arial"/>
      <w:b w:val="1"/>
      <w:bCs w:val="1"/>
      <w:color w:val="2980b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