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body>
    <w:p>
      <w:pPr>
        <w:pStyle w:val="Title"/>
      </w:pPr>
      <w:r>
        <w:t xml:space="preserve">BDF Word Converter</w:t>
      </w:r>
    </w:p>
    <w:p>
      <w:pPr>
        <w:pStyle w:val="TOC1"/>
      </w:pPr>
      <w:hyperlink w:anchor="_Toc1">
        <w:r>
          <w:rPr>
            <w:rStyle w:val="Hyperlink"/>
          </w:rPr>
          <w:t xml:space="preserve">1. Text and paragraphs</w:t>
        </w:r>
        <w:r>
          <w:tab/>
        </w:r>
        <w:r>
          <w:fldChar w:fldCharType="begin"/>
        </w:r>
        <w:r>
          <w:instrText xml:space="preserve"> PAGEREF _Toc1 \h </w:instrText>
        </w:r>
        <w:r>
          <w:fldChar w:fldCharType="separate"/>
        </w:r>
        <w:r>
          <w:t xml:space="preserve">9</w:t>
        </w:r>
        <w:r>
          <w:fldChar w:fldCharType="end"/>
        </w:r>
      </w:hyperlink>
    </w:p>
    <w:p>
      <w:pPr>
        <w:pStyle w:val="TOC1"/>
      </w:pPr>
      <w:hyperlink w:anchor="_Toc2">
        <w:r>
          <w:rPr>
            <w:rStyle w:val="Hyperlink"/>
          </w:rPr>
          <w:t xml:space="preserve">2. Lists and tables</w:t>
        </w:r>
        <w:r>
          <w:tab/>
        </w:r>
        <w:r>
          <w:fldChar w:fldCharType="begin"/>
        </w:r>
        <w:r>
          <w:instrText xml:space="preserve"> PAGEREF _Toc2 \h </w:instrText>
        </w:r>
        <w:r>
          <w:fldChar w:fldCharType="separate"/>
        </w:r>
        <w:r>
          <w:t xml:space="preserve">9</w:t>
        </w:r>
        <w:r>
          <w:fldChar w:fldCharType="end"/>
        </w:r>
      </w:hyperlink>
    </w:p>
    <w:p>
      <w:pPr>
        <w:pStyle w:val="TOC1"/>
      </w:pPr>
      <w:hyperlink w:anchor="_Toc3">
        <w:r>
          <w:rPr>
            <w:rStyle w:val="Hyperlink"/>
          </w:rPr>
          <w:t xml:space="preserve">3. Pages and columns</w:t>
        </w:r>
        <w:r>
          <w:tab/>
        </w:r>
        <w:r>
          <w:fldChar w:fldCharType="begin"/>
        </w:r>
        <w:r>
          <w:instrText xml:space="preserve"> PAGEREF _Toc3 \h </w:instrText>
        </w:r>
        <w:r>
          <w:fldChar w:fldCharType="separate"/>
        </w:r>
        <w:r>
          <w:t xml:space="preserve">9</w:t>
        </w:r>
        <w:r>
          <w:fldChar w:fldCharType="end"/>
        </w:r>
      </w:hyperlink>
    </w:p>
    <w:p>
      <w:pPr>
        <w:pStyle w:val="1"/>
      </w:pPr>
      <w:bookmarkStart w:id="1" w:name="_Toc1"/>
      <w:r>
        <w:t xml:space="preserve">Text and paragraphs</w:t>
      </w:r>
      <w:bookmarkEnd w:id="1"/>
    </w:p>
    <w:p>
      <w:r>
        <w:t xml:space="preserve">Portable previews of office documents need a layout engine: Word files are laid out when they are opened, so the converter breaks the lines itself, with the metrics of the fonts it then embeds. The lines of this justified paragraph end at the same right edge.</w:t>
      </w:r>
    </w:p>
    <w:p>
      <w:r>
        <w:t xml:space="preserve">Runs can be </w:t>
      </w:r>
      <w:r>
        <w:rPr>
          <w:b/>
        </w:rPr>
        <w:t xml:space="preserve">bold</w:t>
      </w:r>
      <w:r>
        <w:t xml:space="preserve">, </w:t>
      </w:r>
      <w:r>
        <w:rPr>
          <w:i/>
        </w:rPr>
        <w:t xml:space="preserve">italic</w:t>
      </w:r>
      <w:r>
        <w:t xml:space="preserve">, </w:t>
      </w:r>
      <w:r>
        <w:rPr>
          <w:u w:val="single"/>
        </w:rPr>
        <w:t xml:space="preserve">underlined</w:t>
      </w:r>
      <w:r>
        <w:t xml:space="preserve">, </w:t>
      </w:r>
      <w:r>
        <w:rPr>
          <w:u w:val="double"/>
        </w:rPr>
        <w:t xml:space="preserve">double underlined</w:t>
      </w:r>
      <w:r>
        <w:t xml:space="preserve">, </w:t>
      </w:r>
      <w:r>
        <w:rPr>
          <w:strike/>
        </w:rPr>
        <w:t xml:space="preserve">struck</w:t>
      </w:r>
      <w:r>
        <w:t xml:space="preserve">, </w:t>
      </w:r>
      <w:r>
        <w:rPr>
          <w:color w:val="C00000"/>
        </w:rPr>
        <w:t xml:space="preserve">colored</w:t>
      </w:r>
      <w:r>
        <w:t xml:space="preserve">, </w:t>
      </w:r>
      <w:r>
        <w:rPr>
          <w:highlight w:val="yellow"/>
        </w:rPr>
        <w:t xml:space="preserve">highlighted</w:t>
      </w:r>
      <w:r>
        <w:t xml:space="preserve"> or </w:t>
      </w:r>
      <w:r>
        <w:rPr>
          <w:smallCaps/>
        </w:rPr>
        <w:t xml:space="preserve">small caps</w:t>
      </w:r>
      <w:r>
        <w:t xml:space="preserve">; x</w:t>
      </w:r>
      <w:r>
        <w:rPr>
          <w:vertAlign w:val="superscript"/>
        </w:rPr>
        <w:t xml:space="preserve">2</w:t>
      </w:r>
      <w:r>
        <w:t xml:space="preserve"> and H</w:t>
      </w:r>
      <w:r>
        <w:rPr>
          <w:vertAlign w:val="subscript"/>
        </w:rPr>
        <w:t xml:space="preserve">2</w:t>
      </w:r>
      <w:r>
        <w:t xml:space="preserve">O. A link to </w:t>
      </w:r>
      <w:hyperlink r:id="rIdLink">
        <w:r>
          <w:rPr>
            <w:rStyle w:val="Hyperlink"/>
          </w:rPr>
          <w:t xml:space="preserve">example.com</w:t>
        </w:r>
      </w:hyperlink>
      <w:r>
        <w:t xml:space="preserve"> and a note.</w:t>
      </w:r>
      <w:r>
        <w:rPr>
          <w:rStyle w:val="FootnoteReference"/>
        </w:rPr>
        <w:footnoteReference w:id="1"/>
      </w:r>
    </w:p>
    <w:p>
      <w:pPr>
        <w:ind w:firstLineChars="100" w:firstLine="210"/>
      </w:pPr>
      <w:r>
        <w:t xml:space="preserve">文書の行は、変換器が折り返します。句読点や閉じ括弧は行頭に来ず、「開き括弧」は行末に残りません。Englishの単語と日本語の間には少し間隔が入り、2026年のような数字も同じです。両端揃えの行は文字の間を広げて右端を揃えます。</w:t>
      </w:r>
    </w:p>
    <w:p>
      <w:pPr>
        <w:jc w:val="distribute"/>
      </w:pPr>
      <w:r>
        <w:rPr>
          <w:em w:val="dot"/>
        </w:rPr>
        <w:t xml:space="preserve">傑出した傳点を突すと強調</w:t>
      </w:r>
      <w:r>
        <w:t xml:space="preserve">、均等割付けの行。</w:t>
      </w:r>
    </w:p>
    <w:p>
      <w:pPr>
        <w:pStyle w:val="1"/>
      </w:pPr>
      <w:bookmarkStart w:id="2" w:name="_Toc2"/>
      <w:r>
        <w:t xml:space="preserve">Lists and tables</w:t>
      </w:r>
      <w:bookmarkEnd w:id="2"/>
    </w:p>
    <w:p>
      <w:pPr>
        <w:pStyle w:val="List"/>
        <w:numPr>
          <w:ilvl w:val="0"/>
          <w:numId w:val="1"/>
        </w:numPr>
      </w:pPr>
      <w:r>
        <w:t xml:space="preserve">A bulleted item</w:t>
      </w:r>
    </w:p>
    <w:p>
      <w:pPr>
        <w:pStyle w:val="List"/>
        <w:numPr>
          <w:ilvl w:val="1"/>
          <w:numId w:val="1"/>
        </w:numPr>
      </w:pPr>
      <w:r>
        <w:t xml:space="preserve">A nested item</w:t>
      </w:r>
    </w:p>
    <w:p>
      <w:pPr>
        <w:pStyle w:val="List"/>
        <w:numPr>
          <w:ilvl w:val="1"/>
          <w:numId w:val="1"/>
        </w:numPr>
      </w:pPr>
      <w:r>
        <w:t xml:space="preserve">Another nested item</w:t>
      </w:r>
    </w:p>
    <w:p>
      <w:pPr>
        <w:pStyle w:val="List"/>
        <w:numPr>
          <w:ilvl w:val="0"/>
          <w:numId w:val="1"/>
        </w:numPr>
      </w:pPr>
      <w:r>
        <w:t xml:space="preserve">Back at the first level</w:t>
      </w:r>
    </w:p>
    <w:p>
      <w:pPr>
        <w:pStyle w:val="List"/>
        <w:numPr>
          <w:ilvl w:val="0"/>
          <w:numId w:val="2"/>
        </w:numPr>
      </w:pPr>
      <w:r>
        <w:t xml:space="preserve">First step</w:t>
      </w:r>
    </w:p>
    <w:p>
      <w:pPr>
        <w:pStyle w:val="List"/>
        <w:numPr>
          <w:ilvl w:val="1"/>
          <w:numId w:val="2"/>
        </w:numPr>
      </w:pPr>
      <w:r>
        <w:t xml:space="preserve">a detail</w:t>
      </w:r>
    </w:p>
    <w:p>
      <w:pPr>
        <w:pStyle w:val="List"/>
        <w:numPr>
          <w:ilvl w:val="1"/>
          <w:numId w:val="2"/>
        </w:numPr>
      </w:pPr>
      <w:r>
        <w:t xml:space="preserve">another detail</w:t>
      </w:r>
    </w:p>
    <w:p>
      <w:pPr>
        <w:pStyle w:val="List"/>
        <w:numPr>
          <w:ilvl w:val="0"/>
          <w:numId w:val="2"/>
        </w:numPr>
      </w:pPr>
      <w:r>
        <w:t xml:space="preserve">Second step, long enough to wrap onto a second line so that the hanging indent shows under the number</w:t>
      </w:r>
    </w:p>
    <w:p>
      <w:pPr>
        <w:numPr>
          <w:ilvl w:val="0"/>
          <w:numId w:val="3"/>
        </w:numPr>
      </w:pPr>
      <w:r>
        <w:t xml:space="preserve">目的を定める。</w:t>
      </w:r>
    </w:p>
    <w:p>
      <w:pPr>
        <w:numPr>
          <w:ilvl w:val="0"/>
          <w:numId w:val="3"/>
        </w:numPr>
      </w:pPr>
      <w:r>
        <w:t xml:space="preserve">適用範囲を定める。</w:t>
      </w:r>
    </w:p>
    <w:tbl>
      <w:tblPr>
        <w:tblStyle w:val="Grid"/>
        <w:tblW w:w="9000" w:type="dxa"/>
        <w:tblLook w:val="04A0" w:firstRow="1" w:lastRow="0" w:firstColumn="1" w:lastColumn="0" w:noHBand="0" w:noVBand="1"/>
      </w:tblPr>
      <w:tblGrid>
        <w:gridCol w:w="2400"/>
        <w:gridCol w:w="2000"/>
        <w:gridCol w:w="4600"/>
      </w:tblGrid>
      <w:tr>
        <w:trPr>
          <w:tblHeader/>
        </w:trPr>
        <w:tc>
          <w:tcPr>
            <w:tcW w:w="2400" w:type="dxa"/>
          </w:tcPr>
          <w:p>
            <w:pPr>
              <w:spacing w:after="0"/>
              <w:jc w:val="left"/>
            </w:pPr>
            <w:r>
              <w:t xml:space="preserve">Item</w:t>
            </w:r>
          </w:p>
        </w:tc>
        <w:tc>
          <w:tcPr>
            <w:tcW w:w="2000" w:type="dxa"/>
          </w:tcPr>
          <w:p>
            <w:pPr>
              <w:spacing w:after="0"/>
              <w:jc w:val="left"/>
            </w:pPr>
            <w:r>
              <w:t xml:space="preserve">Quantity</w:t>
            </w:r>
          </w:p>
        </w:tc>
        <w:tc>
          <w:tcPr>
            <w:tcW w:w="4600" w:type="dxa"/>
          </w:tcPr>
          <w:p>
            <w:pPr>
              <w:spacing w:after="0"/>
              <w:jc w:val="left"/>
            </w:pPr>
            <w:r>
              <w:t xml:space="preserve">Note</w:t>
            </w:r>
          </w:p>
        </w:tc>
      </w:tr>
      <w:tr>
        <w:tc>
          <w:tcPr>
            <w:tcW w:w="2400" w:type="dxa"/>
          </w:tcPr>
          <w:p>
            <w:pPr>
              <w:spacing w:after="0"/>
              <w:jc w:val="left"/>
            </w:pPr>
            <w:r>
              <w:t xml:space="preserve">Apples</w:t>
            </w:r>
          </w:p>
        </w:tc>
        <w:tc>
          <w:tcPr>
            <w:tcW w:w="2000" w:type="dxa"/>
          </w:tcPr>
          <w:p>
            <w:pPr>
              <w:spacing w:after="0"/>
              <w:jc w:val="left"/>
            </w:pPr>
            <w:r>
              <w:t xml:space="preserve">12</w:t>
            </w:r>
          </w:p>
        </w:tc>
        <w:tc>
          <w:tcPr>
            <w:tcW w:w="4600" w:type="dxa"/>
            <w:vMerge w:val="restart"/>
            <w:vAlign w:val="center"/>
          </w:tcPr>
          <w:p>
            <w:pPr>
              <w:spacing w:after="0"/>
              <w:jc w:val="left"/>
            </w:pPr>
            <w:r>
              <w:t xml:space="preserve">Fresh from the orchard</w:t>
            </w:r>
          </w:p>
        </w:tc>
      </w:tr>
      <w:tr>
        <w:tc>
          <w:tcPr>
            <w:tcW w:w="2400" w:type="dxa"/>
          </w:tcPr>
          <w:p>
            <w:pPr>
              <w:spacing w:after="0"/>
              <w:jc w:val="left"/>
            </w:pPr>
            <w:r>
              <w:t xml:space="preserve">Pears</w:t>
            </w:r>
          </w:p>
        </w:tc>
        <w:tc>
          <w:tcPr>
            <w:tcW w:w="2000" w:type="dxa"/>
          </w:tcPr>
          <w:p>
            <w:pPr>
              <w:spacing w:after="0"/>
              <w:jc w:val="left"/>
            </w:pPr>
            <w:r>
              <w:t xml:space="preserve">7</w:t>
            </w:r>
          </w:p>
        </w:tc>
        <w:tc>
          <w:tcPr>
            <w:tcW w:w="4600" w:type="dxa"/>
            <w:vMerge/>
          </w:tcPr>
          <w:p>
            <w:pPr>
              <w:spacing w:after="0"/>
              <w:jc w:val="left"/>
            </w:pPr>
            <w:r/>
          </w:p>
        </w:tc>
      </w:tr>
      <w:tr>
        <w:tc>
          <w:tcPr>
            <w:tcW w:w="4400" w:type="dxa"/>
            <w:gridSpan w:val="2"/>
          </w:tcPr>
          <w:p>
            <w:pPr>
              <w:spacing w:after="0"/>
              <w:jc w:val="left"/>
            </w:pPr>
            <w:r>
              <w:t xml:space="preserve">Total of the fruit above, in one merged cell</w:t>
            </w:r>
          </w:p>
        </w:tc>
        <w:tc>
          <w:tcPr>
            <w:tcW w:w="4600" w:type="dxa"/>
          </w:tcPr>
          <w:p>
            <w:pPr>
              <w:spacing w:after="0"/>
              <w:jc w:val="left"/>
            </w:pPr>
            <w:r>
              <w:t xml:space="preserve">合計は19個</w:t>
            </w:r>
          </w:p>
        </w:tc>
      </w:tr>
    </w:tbl>
    <w:p>
      <w:r>
        <w:t xml:space="preserve">An inline picture </w:t>
      </w:r>
      <w:r>
        <w:drawing>
          <wp:inline distT="0" distB="0" distL="0" distR="0">
            <wp:extent cx="812800" cy="609600"/>
            <wp:effectExtent l="0" t="0" r="0" b="0"/>
            <wp:docPr id="10" name="Picture 1" descr="A gradient photo"/>
            <a:graphic>
              <a:graphicData uri="http://schemas.openxmlformats.org/drawingml/2006/picture">
                <pic:pic>
                  <pic:nvPicPr>
                    <pic:cNvPr id="10" name="Picture 1"/>
                    <pic:cNvPicPr/>
                  </pic:nvPicPr>
                  <pic:blipFill>
                    <a:blip r:embed="rIdPhoto"/>
                    <a:stretch>
                      <a:fillRect/>
                    </a:stretch>
                  </pic:blipFill>
                  <pic:spPr>
                    <a:xfrm>
                      <a:off x="0" y="0"/>
                      <a:ext cx="812800" cy="609600"/>
                    </a:xfrm>
                    <a:prstGeom prst="rect">
                      <a:avLst/>
                    </a:prstGeom>
                  </pic:spPr>
                </pic:pic>
              </a:graphicData>
            </a:graphic>
          </wp:inline>
        </w:drawing>
      </w:r>
      <w:r>
        <w:t xml:space="preserve"> sits on the baseline.</w:t>
      </w:r>
    </w:p>
    <w:p>
      <w:r>
        <w:br w:type="page"/>
      </w:r>
    </w:p>
    <w:p>
      <w:pPr>
        <w:pStyle w:val="1"/>
      </w:pPr>
      <w:bookmarkStart w:id="3" w:name="_Toc3"/>
      <w:r>
        <w:t xml:space="preserve">Pages and columns</w:t>
      </w:r>
      <w:bookmarkEnd w:id="3"/>
    </w:p>
    <w:p>
      <w:r>
        <w:drawing>
          <wp:anchor distT="0" distB="0" distL="114300" distR="114300" simplePos="0" relativeHeight="1" behindDoc="0" locked="0" layoutInCell="1" allowOverlap="1">
            <wp:simplePos x="0" y="0"/>
            <wp:positionH relativeFrom="column">
              <wp:align>right</wp:align>
            </wp:positionH>
            <wp:positionV relativeFrom="paragraph">
              <wp:posOffset>0</wp:posOffset>
            </wp:positionV>
            <wp:extent cx="914400" cy="914400"/>
            <wp:effectExtent l="0" t="0" r="0" b="0"/>
            <wp:wrapSquare wrapText="bothSides"/>
            <wp:docPr id="11" name="Logo" descr="A checkered logo"/>
            <wp:cNvGraphicFramePr/>
            <a:graphic>
              <a:graphicData uri="http://schemas.openxmlformats.org/drawingml/2006/picture">
                <pic:pic>
                  <pic:nvPicPr>
                    <pic:cNvPr id="11" name="Logo"/>
                    <pic:cNvPicPr/>
                  </pic:nvPicPr>
                  <pic:blipFill>
                    <a:blip r:embed="rIdLogo"/>
                    <a:stretch>
                      <a:fillRect/>
                    </a:stretch>
                  </pic:blipFill>
                  <pic:spPr>
                    <a:xfrm>
                      <a:off x="0" y="0"/>
                      <a:ext cx="914400" cy="914400"/>
                    </a:xfrm>
                    <a:prstGeom prst="rect">
                      <a:avLst/>
                    </a:prstGeom>
                  </pic:spPr>
                </pic:pic>
              </a:graphicData>
            </a:graphic>
          </wp:anchor>
        </w:drawing>
      </w:r>
      <w:r>
        <w:t xml:space="preserve">Portable previews of office documents need a layout engine: Word files are laid out when they are opened, so the converter breaks the lines itself, with the metrics of the fonts it then embeds. The lines of this justified paragraph end at the same right edge. Portable previews of office documents need a layout engine: Word files are laid out when they are opened, so the converter breaks the lines itself, with the metrics of the fonts it then embeds. The lines of this justified paragraph end at the same right edge.</w:t>
      </w:r>
    </w:p>
    <w:p>
      <mc:AlternateContent>
        <mc:Choice Requires="wps">
          <w:r>
            <w:drawing>
              <wp:anchor distT="0" distB="0" distL="114300" distR="114300" simplePos="0" relativeHeight="2" behindDoc="0" locked="0" layoutInCell="1" allowOverlap="1">
                <wp:simplePos x="0" y="0"/>
                <wp:positionH relativeFrom="margin">
                  <wp:align>center</wp:align>
                </wp:positionH>
                <wp:positionV relativeFrom="paragraph">
                  <wp:posOffset>76200</wp:posOffset>
                </wp:positionV>
                <wp:extent cx="2540000" cy="635000"/>
                <wp:effectExtent l="0" t="0" r="0" b="0"/>
                <wp:wrapTopAndBottom/>
                <wp:docPr id="12" name="Text Box 1" descr=""/>
                <wp:cNvGraphicFramePr/>
                <a:graphic>
                  <a:graphicData uri="http://schemas.microsoft.com/office/word/2010/wordprocessingShape">
                    <wps:wsp>
                      <wps:cNvSpPr txBox="1"/>
                      <wps:spPr>
                        <a:xfrm>
                          <a:off x="0" y="0"/>
                          <a:ext cx="2540000" cy="635000"/>
                        </a:xfrm>
                        <a:prstGeom prst="roundRect">
                          <a:avLst/>
                        </a:prstGeom>
                        <a:solidFill>
                          <a:srgbClr val="FFF2CC"/>
                        </a:solidFill>
                        <a:ln w="12700">
                          <a:solidFill>
                            <a:srgbClr val="BF9000"/>
                          </a:solidFill>
                        </a:ln>
                      </wps:spPr>
                      <wps:txbx>
                        <w:txbxContent>
                          <w:p>
                            <w:pPr>
                              <w:jc w:val="center"/>
                              <w:spacing w:after="0"/>
                            </w:pPr>
                            <w:r>
                              <w:rPr>
                                <w:b/>
                              </w:rPr>
                              <w:t xml:space="preserve">A text box with centered text</w:t>
                            </w:r>
                          </w:p>
                        </w:txbxContent>
                      </wps:txbx>
                      <wps:bodyPr rot="0" vert="horz" wrap="square" lIns="91440" tIns="45720" rIns="91440" bIns="45720" anchor="ctr">
                        <a:noAutofit/>
                      </wps:bodyPr>
                    </wps:wsp>
                  </a:graphicData>
                </a:graphic>
              </wp:anchor>
            </w:drawing>
          </w:r>
        </mc:Choice>
        <mc:Fallback>
          <w:r>
            <w:pict>
              <v:rect style="width:200pt;height:50pt"/>
            </w:pict>
          </w:r>
        </mc:Fallback>
      </mc:AlternateContent>
      <w:r>
        <w:t xml:space="preserve">The shape above holds a text box.</w:t>
      </w:r>
    </w:p>
    <w:p>
      <w:pPr>
        <w:pBdr>
          <w:top w:val="single" w:sz="8" w:space="4" w:color="2F5496"/>
          <w:left w:val="single" w:sz="8" w:space="4" w:color="2F5496"/>
          <w:bottom w:val="single" w:sz="8" w:space="4" w:color="2F5496"/>
          <w:right w:val="single" w:sz="8" w:space="4" w:color="2F5496"/>
        </w:pBdr>
        <w:shd w:val="clear" w:color="auto" w:fill="DEEAF6"/>
        <w:ind w:left="240" w:right="240"/>
      </w:pPr>
      <w:r>
        <w:t xml:space="preserve">A paragraph with borders and shading.</w:t>
      </w:r>
    </w:p>
    <w:p>
      <w:pPr>
        <w:sectPr>
          <w:headerReference w:type="default" r:id="rIdH1"/>
          <w:footerReference w:type="default" r:id="rIdF1"/>
          <w:pgSz w:w="11906" w:h="16838"/>
          <w:pgMar w:top="1440" w:right="1440" w:bottom="1440" w:left="1440" w:header="720" w:footer="720" w:gutter="0"/>
          <w:cols w:space="720"/>
        </w:sectPr>
      </w:pPr>
      <w:r>
        <w:t xml:space="preserve">Two columns follow.</w:t>
      </w:r>
    </w:p>
    <w:p>
      <w:r>
        <w:t xml:space="preserve">Column paragraph 1. Portable previews of office documents need a layout engine: Word files are laid out when they are opened, so the converter breaks the lines itself, with the metrics of the fonts it then embeds. The lines of this justified paragraph end at the same right edge.</w:t>
      </w:r>
    </w:p>
    <w:p>
      <w:r>
        <w:t xml:space="preserve">Column paragraph 2. Portable previews of office documents need a layout engine: Word files are laid out when they are opened, so the converter breaks the lines itself, with the metrics of the fonts it then embeds. The lines of this justified paragraph end at the same right edge.</w:t>
      </w:r>
    </w:p>
    <w:p>
      <w:r>
        <w:t xml:space="preserve">Column paragraph 3. Portable previews of office documents need a layout engine: Word files are laid out when they are opened, so the converter breaks the lines itself, with the metrics of the fonts it then embeds. The lines of this justified paragraph end at the same right edge.</w:t>
      </w:r>
    </w:p>
    <w:p>
      <w:r>
        <w:br w:type="column"/>
      </w:r>
      <w:r>
        <w:t xml:space="preserve">After a column break.</w:t>
      </w:r>
    </w:p>
    <w:p>
      <w:r>
        <w:t xml:space="preserve">文書の行は、変換器が折り返します。句読点や閉じ括弧は行頭に来ず、「開き括弧」は行末に残りません。Englishの単語と日本語の間には少し間隔が入り、2026年のような数字も同じです。両端揃えの行は文字の間を広げて右端を揃えます。</w:t>
      </w:r>
    </w:p>
    <w:p>
      <w:pPr>
        <w:sectPr>
          <w:type w:val="continuous"/>
          <w:pgSz w:w="11906" w:h="16838"/>
          <w:pgMar w:top="1440" w:right="1440" w:bottom="1440" w:left="1440" w:header="720" w:footer="720" w:gutter="0"/>
          <w:cols w:num="2" w:space="425"/>
        </w:sectPr>
      </w:pPr>
      <w:r>
        <w:t xml:space="preserve">The end of the two columns.</w:t>
      </w:r>
    </w:p>
    <w:p>
      <w:pPr>
        <w:sectPr>
          <w:type w:val="continuous"/>
          <w:pgSz w:w="11906" w:h="16838"/>
          <w:pgMar w:top="1440" w:right="1440" w:bottom="1440" w:left="1440" w:header="720" w:footer="720" w:gutter="0"/>
          <w:cols w:space="720"/>
        </w:sectPr>
      </w:pPr>
      <w:r>
        <w:t xml:space="preserve">Back to one column, below the columns.</w:t>
      </w:r>
    </w:p>
    <w:p>
      <w:pPr>
        <w:pStyle w:val="1"/>
      </w:pPr>
      <w:r>
        <w:t xml:space="preserve">A landscape section</w:t>
      </w:r>
    </w:p>
    <w:p>
      <w:r>
        <w:drawing>
          <wp:anchor distT="0" distB="0" distL="114300" distR="114300" simplePos="0" relativeHeight="1" behindDoc="1" locked="0" layoutInCell="1" allowOverlap="1">
            <wp:simplePos x="0" y="0"/>
            <wp:positionH relativeFrom="margin">
              <wp:align>center</wp:align>
            </wp:positionH>
            <wp:positionV relativeFrom="paragraph">
              <wp:posOffset>0</wp:posOffset>
            </wp:positionV>
            <wp:extent cx="1828800" cy="1828800"/>
            <wp:effectExtent l="0" t="0" r="0" b="0"/>
            <wp:wrapNone/>
            <wp:docPr id="13" name="Watermark" descr=""/>
            <wp:cNvGraphicFramePr/>
            <a:graphic>
              <a:graphicData uri="http://schemas.openxmlformats.org/drawingml/2006/picture">
                <pic:pic>
                  <pic:nvPicPr>
                    <pic:cNvPr id="13" name="Watermark"/>
                    <pic:cNvPicPr/>
                  </pic:nvPicPr>
                  <pic:blipFill>
                    <a:blip r:embed="rIdLogo"/>
                    <a:stretch>
                      <a:fillRect/>
                    </a:stretch>
                  </pic:blipFill>
                  <pic:spPr>
                    <a:xfrm>
                      <a:off x="0" y="0"/>
                      <a:ext cx="1828800" cy="1828800"/>
                    </a:xfrm>
                    <a:prstGeom prst="rect">
                      <a:avLst/>
                    </a:prstGeom>
                  </pic:spPr>
                </pic:pic>
              </a:graphicData>
            </a:graphic>
          </wp:anchor>
        </w:drawing>
      </w:r>
      <w:r>
        <w:t xml:space="preserve">Portable previews of office documents need a layout engine: Word files are laid out when they are opened, so the converter breaks the lines itself, with the metrics of the fonts it then embeds. The lines of this justified paragraph end at the same right edge. 文書の行は、変換器が折り返します。句読点や閉じ括弧は行頭に来ず、「開き括弧」は行末に残りません。Englishの単語と日本語の間には少し間隔が入り、2026年のような数字も同じです。両端揃えの行は文字の間を広げて右端を揃えます。</w:t>
      </w:r>
    </w:p>
    <w:sectPr>
      <w:headerReference w:type="default" r:id="rIdH1"/>
      <w:headerReference w:type="first" r:id="rIdH2"/>
      <w:footerReference w:type="default" r:id="rIdF1"/>
      <w:pgSz w:w="16838" w:h="11906" w:orient="landscape"/>
      <w:pgMar w:top="1440" w:right="1440" w:bottom="1440" w:left="1440" w:header="720" w:footer="720" w:gutter="0"/>
      <w:cols w:space="72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p>
    <w:pPr>
      <w:pStyle w:val="Heade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Footnotes go at the bottom of the page.</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p>
    <w:pPr>
      <w:pStyle w:val="Header"/>
    </w:pPr>
    <w:r>
      <w:t xml:space="preserve">BDF test document</w:t>
      <w:tab/>
      <w:tab/>
      <w:t xml:space="preserve">Page </w:t>
    </w:r>
    <w:r>
      <w:fldChar w:fldCharType="begin"/>
    </w:r>
    <w:r>
      <w:instrText xml:space="preserve"> PAGE </w:instrText>
    </w:r>
    <w:r>
      <w:fldChar w:fldCharType="separate"/>
    </w:r>
    <w:r>
      <w:t xml:space="preserve">1</w:t>
    </w:r>
    <w:r>
      <w:fldChar w:fldCharType="end"/>
    </w:r>
    <w:r>
      <w:t xml:space="preserve"> of </w:t>
    </w:r>
    <w:r>
      <w:fldChar w:fldCharType="begin"/>
    </w:r>
    <w:r>
      <w:instrText xml:space="preserve"> NUMPAGES </w:instrText>
    </w:r>
    <w:r>
      <w:fldChar w:fldCharType="separate"/>
    </w:r>
    <w:r>
      <w:t xml:space="preserve">3</w:t>
    </w:r>
    <w:r>
      <w:fldChar w:fldCharType="end"/>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p>
    <w:pPr>
      <w:pStyle w:val="Header"/>
      <w:jc w:val="center"/>
    </w:pPr>
    <w:r>
      <w:t xml:space="preserve">The first page of the landscape section</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abstractNum w:abstractNumId="0">
    <w:multiLevelType w:val="hybridMultilevel"/>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lvl>
  </w:abstractNum>
  <w:abstractNum w:abstractNumId="1">
    <w:multiLevelType w:val="hybridMultilevel"/>
    <w:lvl w:ilvl="0">
      <w:start w:val="1"/>
      <w:numFmt w:val="decimal"/>
      <w:lvlText w:val="%1."/>
      <w:lvlJc w:val="left"/>
      <w:pPr>
        <w:ind w:left="420" w:hanging="420"/>
      </w:pPr>
    </w:lvl>
    <w:lvl w:ilvl="1">
      <w:start w:val="1"/>
      <w:numFmt w:val="lowerLetter"/>
      <w:lvlText w:val="%2)"/>
      <w:lvlJc w:val="left"/>
      <w:pPr>
        <w:ind w:left="840" w:hanging="420"/>
      </w:pPr>
    </w:lvl>
  </w:abstractNum>
  <w:abstractNum w:abstractNumId="2">
    <w:multiLevelType w:val="hybridMultilevel"/>
    <w:lvl w:ilvl="0">
      <w:start w:val="1"/>
      <w:numFmt w:val="decimalFullWidth"/>
      <w:lvlText w:val="第%1条"/>
      <w:lvlJc w:val="left"/>
      <w:suff w:val="space"/>
      <w:pPr>
        <w:ind w:left="0" w:firstLine="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defaultTabStop w:val="840"/>
  <w:compat>
    <w:compatSetting w:name="compatibilityMode" w:uri="http://schemas.microsoft.com/office/word" w:val="15"/>
  </w:compat>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pPr>
        <w:spacing w:after="120" w:line="259" w:lineRule="auto"/>
      </w:pPr>
    </w:pPrDefault>
  </w:docDefaults>
  <w:style w:type="paragraph" w:default="1" w:styleId="a">
    <w:name w:val="Normal"/>
    <w:qFormat/>
    <w:pPr>
      <w:widowControl/>
      <w:jc w:val="both"/>
    </w:pPr>
  </w:style>
  <w:style w:type="character" w:default="1" w:styleId="a0">
    <w:name w:val="Default Paragraph Font"/>
  </w:style>
  <w:style w:type="table" w:default="1" w:styleId="a1">
    <w:name w:val="Normal Table"/>
    <w:tblPr>
      <w:tblInd w:w="0" w:type="dxa"/>
      <w:tblCellMar>
        <w:top w:w="0" w:type="dxa"/>
        <w:left w:w="108" w:type="dxa"/>
        <w:bottom w:w="0" w:type="dxa"/>
        <w:right w:w="108" w:type="dxa"/>
      </w:tblCellMar>
    </w:tblPr>
  </w:style>
  <w:style w:type="paragraph" w:styleId="Title">
    <w:name w:val="Title"/>
    <w:basedOn w:val="a"/>
    <w:next w:val="a"/>
    <w:pPr>
      <w:spacing w:after="240"/>
      <w:jc w:val="center"/>
    </w:pPr>
    <w:rPr>
      <w:rFonts w:asciiTheme="majorHAnsi" w:eastAsiaTheme="majorEastAsia"/>
      <w:b/>
      <w:color w:val="1F3864"/>
      <w:sz w:val="40"/>
    </w:rPr>
  </w:style>
  <w:style w:type="paragraph" w:styleId="1">
    <w:name w:val="heading 1"/>
    <w:basedOn w:val="a"/>
    <w:next w:val="a"/>
    <w:pPr>
      <w:keepNext/>
      <w:spacing w:before="240" w:after="120"/>
      <w:outlineLvl w:val="0"/>
    </w:pPr>
    <w:rPr>
      <w:rFonts w:asciiTheme="majorHAnsi" w:eastAsiaTheme="majorEastAsia"/>
      <w:b/>
      <w:color w:themeColor="accent1" w:themeShade="BF"/>
      <w:sz w:val="28"/>
    </w:rPr>
  </w:style>
  <w:style w:type="paragraph" w:styleId="2">
    <w:name w:val="heading 2"/>
    <w:basedOn w:val="a"/>
    <w:next w:val="a"/>
    <w:pPr>
      <w:keepNext/>
      <w:spacing w:before="160" w:after="80"/>
      <w:outlineLvl w:val="1"/>
    </w:pPr>
    <w:rPr>
      <w:b/>
      <w:sz w:val="24"/>
    </w:rPr>
  </w:style>
  <w:style w:type="paragraph" w:styleId="List">
    <w:name w:val="List Paragraph"/>
    <w:basedOn w:val="a"/>
    <w:pPr>
      <w:ind w:left="720"/>
      <w:contextualSpacing/>
    </w:pPr>
  </w:style>
  <w:style w:type="paragraph" w:styleId="FootnoteText">
    <w:name w:val="footnote text"/>
    <w:basedOn w:val="a"/>
    <w:pPr>
      <w:spacing w:after="0"/>
      <w:jc w:val="left"/>
    </w:pPr>
    <w:rPr>
      <w:sz w:val="18"/>
    </w:rPr>
  </w:style>
  <w:style w:type="character" w:styleId="FootnoteReference">
    <w:name w:val="footnote reference"/>
    <w:rPr>
      <w:vertAlign w:val="superscript"/>
    </w:rPr>
  </w:style>
  <w:style w:type="character" w:styleId="Hyperlink">
    <w:name w:val="Hyperlink"/>
    <w:rPr>
      <w:color w:themeColor="hyperlink"/>
      <w:u w:val="single"/>
    </w:rPr>
  </w:style>
  <w:style w:type="character" w:styleId="Strong">
    <w:name w:val="Strong"/>
    <w:rPr>
      <w:b/>
    </w:rPr>
  </w:style>
  <w:style w:type="paragraph" w:styleId="Header">
    <w:name w:val="header"/>
    <w:basedOn w:val="a"/>
    <w:pPr>
      <w:tabs>
        <w:tab w:val="center" w:pos="4513"/>
        <w:tab w:val="right" w:pos="9026"/>
      </w:tabs>
      <w:spacing w:after="0"/>
    </w:pPr>
    <w:rPr>
      <w:sz w:val="18"/>
    </w:rPr>
  </w:style>
  <w:style w:type="paragraph" w:styleId="TOC1">
    <w:name w:val="toc 1"/>
    <w:basedOn w:val="a"/>
    <w:pPr>
      <w:tabs>
        <w:tab w:val="right" w:leader="dot" w:pos="9016"/>
      </w:tabs>
      <w:spacing w:after="60"/>
    </w:pPr>
  </w:style>
  <w:style w:type="table" w:styleId="Grid">
    <w:name w:val="Grid Table 4 Accent 1"/>
    <w:basedOn w:val="a1"/>
    <w:tblPr>
      <w:tblStyleRowBandSize w:val="1"/>
      <w:tblStyleColBandSize w:val="1"/>
      <w:tblBorders>
        <w:top w:val="single" w:sz="4" w:color="8EAADB"/>
        <w:left w:val="single" w:sz="4" w:color="8EAADB"/>
        <w:bottom w:val="single" w:sz="4" w:color="8EAADB"/>
        <w:right w:val="single" w:sz="4" w:color="8EAADB"/>
        <w:insideH w:val="single" w:sz="4" w:color="8EAADB"/>
        <w:insideV w:val="single" w:sz="4" w:color="8EAADB"/>
      </w:tblBorders>
    </w:tblPr>
    <w:tblStylePr w:type="firstRow">
      <w:rPr>
        <w:b/>
        <w:color w:val="FFFFFF"/>
      </w:rPr>
      <w:tcPr>
        <w:shd w:val="clear" w:color="auto" w:fill="4472C4"/>
      </w:tcPr>
    </w:tblStylePr>
    <w:tblStylePr w:type="band1Horz">
      <w:tcPr>
        <w:shd w:val="clear" w:color="auto" w:fill="D9E2F3"/>
      </w:tcPr>
    </w:tblStyle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theme" Target="theme/theme1.xml"/>
<Relationship Id="rIdH1" Type="http://schemas.openxmlformats.org/officeDocument/2006/relationships/header" Target="header1.xml"/>
<Relationship Id="rIdH2" Type="http://schemas.openxmlformats.org/officeDocument/2006/relationships/header" Target="header2.xml"/>
<Relationship Id="rIdF1" Type="http://schemas.openxmlformats.org/officeDocument/2006/relationships/footer" Target="footer1.xml"/>
<Relationship Id="rIdFn" Type="http://schemas.openxmlformats.org/officeDocument/2006/relationships/footnotes" Target="footnotes.xml"/>
<Relationship Id="rIdPhoto" Type="http://schemas.openxmlformats.org/officeDocument/2006/relationships/image" Target="media/photo.png"/>
<Relationship Id="rIdLogo" Type="http://schemas.openxmlformats.org/officeDocument/2006/relationships/image" Target="media/logo.png"/>
<Relationship Id="rIdLink" Type="http://schemas.openxmlformats.org/officeDocument/2006/relationships/hyperlink" Target="https://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
        <a:cs typeface=""/>
        <a:font script="Jpan" typeface="游ゴシック Light"/>
      </a:majorFont>
      <a:minorFont>
        <a:latin typeface="Century"/>
        <a:ea typeface=""/>
        <a:cs typeface=""/>
        <a:font script="Jpan" typeface="游明朝"/>
      </a:minorFont>
    </a:fontScheme>
    <a:fmtScheme name="Offic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BDF Word test</dc:title>
  <dc:creator>BDF</dc:creator>
  <dcterms:created xsi:type="dcterms:W3CDTF">2026-09-26T09:00:00Z</dcterms:created>
</cp:coreProperties>
</file>