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xmlns:m="http://schemas.openxmlformats.org/officeDocument/2006/math" mc:Ignorable="w14">
  <w:body>
    <w:p>
      <w:pPr>
        <w:pStyle w:val="Title"/>
      </w:pPr>
      <w:r>
        <w:t xml:space="preserve">数式 (Office Math)</w:t>
      </w:r>
    </w:p>
    <w:p>
      <w:r>
        <w:t xml:space="preserve">二次方程式 </w:t>
      </w:r>
      <m:oMath>
        <m:r>
          <w:rPr>
            <w:rFonts w:ascii="Cambria Math" w:hAnsi="Cambria Math"/>
          </w:rPr>
          <m:t xml:space="preserve"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+bx+c=0</m:t>
        </m:r>
      </m:oMath>
      <w:r>
        <w:t xml:space="preserve"> の解は、判別式 </w:t>
      </w:r>
      <m:oMath>
        <m:r>
          <w:rPr>
            <w:rFonts w:ascii="Cambria Math" w:hAnsi="Cambria Math"/>
          </w:rPr>
          <m:t xml:space="preserve">D=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b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−4ac</m:t>
        </m:r>
      </m:oMath>
      <w:r>
        <w:t xml:space="preserve"> を用いて次のように表されます。</w:t>
      </w:r>
    </w:p>
    <w:p>
      <m:oMathPara>
        <m:oMath>
          <m:r>
            <w:rPr>
              <w:rFonts w:ascii="Cambria Math" w:hAnsi="Cambria Math"/>
            </w:rPr>
            <m:t xml:space="preserve"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−b±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−4ac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 xml:space="preserve">2a</m:t>
              </m:r>
            </m:den>
          </m:f>
        </m:oMath>
      </m:oMathPara>
    </w:p>
    <w:p>
      <w:r>
        <w:t xml:space="preserve">Sums, products and integrals take their limits under and over them, or at their side:</w:t>
      </w:r>
    </w:p>
    <w:p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 xml:space="preserve">k=1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nary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n+1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2n+1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6</m:t>
              </m:r>
            </m:den>
          </m:f>
        </m:oMath>
      </m:oMathPara>
    </w:p>
    <w:p>
      <m:oMathPara>
        <m:oMath>
          <m:nary>
            <m:naryPr>
              <m:chr m:val="∫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x</m:t>
              </m:r>
            </m:e>
          </m:nary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π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,  </m:t>
          </m:r>
          <m:nary>
            <m:naryPr>
              <m:chr m:val="∏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 xml:space="preserve">i=1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,  </m:t>
          </m:r>
          <m:nary>
            <m:naryPr>
              <m:chr m:val="∮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 xml:space="preserve">C</m:t>
              </m:r>
            </m:sub>
            <m:sup/>
            <m:e>
              <m:r>
                <m:rPr>
                  <m:sty m:val="b"/>
                </m:rP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⋅d</m:t>
              </m:r>
              <m:r>
                <m:rPr>
                  <m:sty m:val="b"/>
                </m:rPr>
                <w:rPr>
                  <w:rFonts w:ascii="Cambria Math" w:hAnsi="Cambria Math"/>
                </w:rPr>
                <m:t xml:space="preserve">r</m:t>
              </m:r>
            </m:e>
          </m:nary>
        </m:oMath>
      </m:oMathPara>
    </w:p>
    <w:p>
      <w:r>
        <w:t xml:space="preserve">Functions, limits, and delimiters that grow with what they hold:</w:t>
      </w:r>
    </w:p>
    <w:p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lim</m:t>
                  </m:r>
                </m:e>
                <m:lim>
                  <m:r>
                    <w:rPr>
                      <w:rFonts w:ascii="Cambria Math" w:hAnsi="Cambria Math"/>
                    </w:rPr>
                    <m:t xml:space="preserve">h→0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x+h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−f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 xml:space="preserve">h</m:t>
                  </m:r>
                </m:den>
              </m:f>
            </m:e>
          </m:func>
          <m:r>
            <w:rPr>
              <w:rFonts w:ascii="Cambria Math" w:hAnsi="Cambria Math"/>
            </w:rPr>
            <m:t xml:space="preserve"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f</m:t>
              </m:r>
            </m:e>
            <m:sup>
              <m:r>
                <w:rPr>
                  <w:rFonts w:ascii="Cambria Math" w:hAnsi="Cambria Math"/>
                </w:rPr>
                <m:t xml:space="preserve">′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</m:oMath>
      </m:oMathPara>
    </w:p>
    <w:p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+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x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y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+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a</m:t>
              </m:r>
            </m:e>
            <m:e>
              <m:r>
                <w:rPr>
                  <w:rFonts w:ascii="Cambria Math" w:hAnsi="Cambria Math"/>
                </w:rPr>
                <m:t xml:space="preserve">b</m:t>
              </m:r>
            </m:e>
          </m:d>
          <m:r>
            <w:rPr>
              <w:rFonts w:ascii="Cambria Math" w:hAnsi="Cambria Math"/>
            </w:rPr>
            <m:t xml:space="preserve"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 xml:space="preserve">sin</m:t>
              </m:r>
            </m:fName>
            <m:e>
              <m:r>
                <w:rPr>
                  <w:rFonts w:ascii="Cambria Math" w:hAnsi="Cambria Math"/>
                </w:rPr>
                <m:t xml:space="preserve">θ</m:t>
              </m:r>
            </m:e>
          </m:func>
          <m:r>
            <w:rPr>
              <w:rFonts w:ascii="Cambria Math" w:hAnsi="Cambria Math"/>
            </w:rPr>
            <m:t xml:space="preserve"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cos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fName>
            <m:e>
              <m:r>
                <w:rPr>
                  <w:rFonts w:ascii="Cambria Math" w:hAnsi="Cambria Math"/>
                </w:rPr>
                <m:t xml:space="preserve">θ</m:t>
              </m:r>
            </m:e>
          </m:func>
        </m:oMath>
      </m:oMathPara>
    </w:p>
    <w:p>
      <w:r>
        <w:t xml:space="preserve">Matrices, cases and aligned equations:</w:t>
      </w:r>
    </w:p>
    <w:p>
      <m:oMathPara>
        <m:oMath>
          <m:r>
            <w:rPr>
              <w:rFonts w:ascii="Cambria Math" w:hAnsi="Cambria Math"/>
            </w:rPr>
            <m:t xml:space="preserve"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 xml:space="preserve">, 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 xml:space="preserve">det</m:t>
              </m:r>
            </m:fName>
            <m:e>
              <m:r>
                <w:rPr>
                  <w:rFonts w:ascii="Cambria Math" w:hAnsi="Cambria Math"/>
                </w:rPr>
                <m:t xml:space="preserve">A</m:t>
              </m:r>
            </m:e>
          </m:func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mr>
              </m:m>
            </m:e>
          </m:d>
        </m:oMath>
      </m:oMathPara>
    </w:p>
    <w:p>
      <m:oMathPara>
        <m:oMath>
          <m:r>
            <w:rPr>
              <w:rFonts w:ascii="Cambria Math" w:hAnsi="Cambria Math"/>
            </w:rPr>
            <m:t xml:space="preserve"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,&amp;x≥0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−x,&amp;x&lt;0</m:t>
                  </m:r>
                </m:e>
              </m:eqArr>
            </m:e>
          </m:d>
        </m:oMath>
      </m:oMathPara>
    </w:p>
    <w:p>
      <m:oMathPara>
        <m:oMath>
          <m:eqArr>
            <m:eqArrPr>
              <m:ctrlPr>
                <w:rPr>
                  <w:rFonts w:ascii="Cambria Math" w:hAnsi="Cambria Math"/>
                  <w:i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a+b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&amp;=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+2ab+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 xml:space="preserve">&amp;≤2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d>
            </m:e>
          </m:eqArr>
        </m:oMath>
      </m:oMathPara>
    </w:p>
    <w:p>
      <w:r>
        <w:t xml:space="preserve">Accents, bars, braces, roots and boxes:</w:t>
      </w:r>
    </w:p>
    <w:p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r>
            <w:rPr>
              <w:rFonts w:ascii="Cambria Math" w:hAnsi="Cambria Math"/>
            </w:rPr>
            <m:t xml:space="preserve">+</m:t>
          </m:r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y</m:t>
              </m:r>
            </m:e>
          </m:acc>
          <m:r>
            <w:rPr>
              <w:rFonts w:ascii="Cambria Math" w:hAnsi="Cambria Math"/>
            </w:rPr>
            <m:t xml:space="preserve">+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v</m:t>
              </m:r>
            </m:e>
          </m:acc>
          <m:r>
            <w:rPr>
              <w:rFonts w:ascii="Cambria Math" w:hAnsi="Cambria Math"/>
            </w:rPr>
            <m:t xml:space="preserve">+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a</m:t>
              </m:r>
            </m:e>
          </m:acc>
          <m:r>
            <w:rPr>
              <w:rFonts w:ascii="Cambria Math" w:hAnsi="Cambria Math"/>
            </w:rPr>
            <m:t xml:space="preserve">+</m:t>
          </m:r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 xml:space="preserve">AB</m:t>
              </m:r>
            </m:e>
          </m:bar>
          <m:r>
            <w:rPr>
              <w:rFonts w:ascii="Cambria Math" w:hAnsi="Cambria Math"/>
            </w:rPr>
            <m:t xml:space="preserve">+</m:t>
          </m:r>
          <m:bar>
            <m:barPr>
              <m:pos m:val="bot"/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 xml:space="preserve">z</m:t>
              </m:r>
            </m:e>
          </m:bar>
          <m:r>
            <w:rPr>
              <w:rFonts w:ascii="Cambria Math" w:hAnsi="Cambria Math"/>
            </w:rPr>
            <m:t xml:space="preserve">+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xyz</m:t>
              </m:r>
            </m:e>
          </m:acc>
        </m:oMath>
      </m:oMathPara>
    </w:p>
    <w:p>
      <m:oMathPara>
        <m:oMath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 xml:space="preserve">a+b+c</m:t>
                  </m:r>
                </m:e>
              </m:groupChr>
            </m:e>
            <m:lim>
              <m:r>
                <w:rPr>
                  <w:rFonts w:ascii="Cambria Math" w:hAnsi="Cambria Math"/>
                </w:rPr>
                <m:t xml:space="preserve">3</m:t>
              </m:r>
            </m:lim>
          </m:limLow>
          <m:r>
            <w:rPr>
              <w:rFonts w:ascii="Cambria Math" w:hAnsi="Cambria Math"/>
            </w:rPr>
            <m:t xml:space="preserve">+</m:t>
          </m:r>
          <m:limUpp>
            <m:limUppPr>
              <m:ctrlPr>
                <w:rPr>
                  <w:rFonts w:ascii="Cambria Math" w:hAnsi="Cambria Math"/>
                  <w:i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 xml:space="preserve">x+y</m:t>
                  </m:r>
                </m:e>
              </m:groupChr>
            </m:e>
            <m:lim>
              <m:r>
                <w:rPr>
                  <w:rFonts w:ascii="Cambria Math" w:hAnsi="Cambria Math"/>
                </w:rPr>
                <m:t xml:space="preserve">2</m:t>
              </m:r>
            </m:lim>
          </m:limUpp>
          <m:r>
            <w:rPr>
              <w:rFonts w:ascii="Cambria Math" w:hAnsi="Cambria Math"/>
            </w:rPr>
            <m:t xml:space="preserve">+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 xml:space="preserve">3</m:t>
              </m:r>
            </m:deg>
            <m:e>
              <m:r>
                <w:rPr>
                  <w:rFonts w:ascii="Cambria Math" w:hAnsi="Cambria Math"/>
                </w:rPr>
                <m:t xml:space="preserve">x+1</m:t>
              </m:r>
            </m:e>
          </m:rad>
          <m:r>
            <w:rPr>
              <w:rFonts w:ascii="Cambria Math" w:hAnsi="Cambria Math"/>
            </w:rPr>
            <m:t xml:space="preserve">+</m:t>
          </m:r>
          <m:sPre>
            <m:sPrePr>
              <m:ctrlPr>
                <w:rPr>
                  <w:rFonts w:ascii="Cambria Math" w:hAnsi="Cambria Math"/>
                  <w:i/>
                </w:rPr>
              </m:ctrlPr>
            </m:sPrePr>
            <m:sub>
              <m:r>
                <w:rPr>
                  <w:rFonts w:ascii="Cambria Math" w:hAnsi="Cambria Math"/>
                </w:rPr>
                <m:t xml:space="preserve"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e>
          </m:sPre>
        </m:oMath>
      </m:oMathPara>
    </w:p>
    <w:p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 xml:space="preserve">E=m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borderBox>
          <m:r>
            <w:rPr>
              <w:rFonts w:ascii="Cambria Math" w:hAnsi="Cambria Math"/>
            </w:rPr>
            <m:t xml:space="preserve">  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w:rPr>
                  <w:rFonts w:ascii="Cambria Math" w:hAnsi="Cambria Math"/>
                </w:rPr>
                <m:t xml:space="preserve">b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w:rPr>
                  <w:rFonts w:ascii="Cambria Math" w:hAnsi="Cambria Math"/>
                </w:rPr>
                <m:t xml:space="preserve">b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fPr>
              <m:type m:val="noBar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n</m:t>
              </m:r>
            </m:num>
            <m:den>
              <m:r>
                <w:rPr>
                  <w:rFonts w:ascii="Cambria Math" w:hAnsi="Cambria Math"/>
                </w:rPr>
                <m:t xml:space="preserve">k</m:t>
              </m:r>
            </m:den>
          </m:f>
        </m:oMath>
      </m:oMathPara>
    </w:p>
    <w:p>
      <w:r>
        <w:t xml:space="preserve">Normal text, color and bold in formulas:</w:t>
      </w:r>
    </w:p>
    <w:p>
      <m:oMathPara>
        <m:oMath>
          <m:r>
            <w:rPr>
              <w:rFonts w:ascii="Cambria Math" w:hAnsi="Cambria Math"/>
            </w:rPr>
            <m:t xml:space="preserve"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 xml:space="preserve">距離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 xml:space="preserve">時間</m:t>
              </m:r>
            </m:den>
          </m:f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  <w:color w:val="C00000"/>
            </w:rPr>
            <m:t xml:space="preserve">F</m:t>
          </m:r>
          <m:r>
            <w:rPr>
              <w:rFonts w:ascii="Cambria Math" w:hAnsi="Cambria Math"/>
              <w:color w:val="C00000"/>
            </w:rPr>
            <m:t xml:space="preserve">=m</m:t>
          </m:r>
          <m:r>
            <m:rPr>
              <m:sty m:val="b"/>
            </m:rPr>
            <w:rPr>
              <w:rFonts w:ascii="Cambria Math" w:hAnsi="Cambria Math"/>
              <w:color w:val="C00000"/>
            </w:rPr>
            <m:t xml:space="preserve">a</m:t>
          </m:r>
        </m:oMath>
      </m:oMathPara>
    </w:p>
    <w:p>
      <w:r>
        <w:t xml:space="preserve">球の体積は </w:t>
      </w:r>
      <m:oMath>
        <m:r>
          <w:rPr>
            <w:rFonts w:ascii="Cambria Math" w:hAnsi="Cambria Math"/>
          </w:rPr>
          <m:t xml:space="preserve">V=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t xml:space="preserve"> で、表面積は </w:t>
      </w:r>
      <m:oMath>
        <m:r>
          <w:rPr>
            <w:rFonts w:ascii="Cambria Math" w:hAnsi="Cambria Math"/>
          </w:rPr>
          <m:t xml:space="preserve">S=4π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 です。Euler: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iπ</m:t>
            </m:r>
          </m:sup>
        </m:sSup>
        <m:r>
          <w:rPr>
            <w:rFonts w:ascii="Cambria Math" w:hAnsi="Cambria Math"/>
          </w:rPr>
          <m:t xml:space="preserve">+1=0</m:t>
        </m:r>
      </m:oMath>
      <w:r>
        <w:t xml:space="preserve">.</w:t>
      </w:r>
    </w:p>
    <w:sectPr>
      <w:pgSz w:w="11906" w:h="16838"/>
      <w:pgMar w:top="1440" w:right="1440" w:bottom="1440" w:left="1440" w:header="720" w:footer="720" w:gutter="0"/>
      <w:cols w:space="425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◆"/>
      <w:lvlJc w:val="left"/>
      <w:pPr>
        <w:ind w:left="840" w:hanging="42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</w:abstractNum>
  <w:abstractNum w:abstractNumId="2">
    <w:multiLevelType w:val="hybridMultilevel"/>
    <w:lvl w:ilvl="0">
      <w:start w:val="1"/>
      <w:numFmt w:val="decimalFullWidth"/>
      <w:lvlText w:val="第%1条"/>
      <w:lvlJc w:val="left"/>
      <w:suff w:val="space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xmlns:m="http://schemas.openxmlformats.org/officeDocument/2006/math" mc:Ignorable="w14">
  <w:defaultTabStop w:val="840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compat>
    <w:compatSetting w:name="compatibilityMode" w:uri="http://schemas.microsoft.com/office/word" w:val="15"/>
  </w:compat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spacing w:after="120" w:line="259" w:lineRule="auto"/>
      </w:pPr>
    </w:pPrDefault>
  </w:docDefaults>
  <w:style w:type="paragraph" w:default="1" w:styleId="a">
    <w:name w:val="Normal"/>
    <w:qFormat/>
    <w:pPr>
      <w:widowControl/>
      <w:jc w:val="both"/>
    </w:pPr>
  </w:style>
  <w:style w:type="character" w:default="1" w:styleId="a0">
    <w:name w:val="Default Paragraph Font"/>
  </w:style>
  <w:style w:type="table" w:default="1" w:styleId="a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a"/>
    <w:next w:val="a"/>
    <w:pPr>
      <w:spacing w:after="240"/>
      <w:jc w:val="center"/>
    </w:pPr>
    <w:rPr>
      <w:rFonts w:asciiTheme="majorHAnsi" w:eastAsiaTheme="majorEastAsia"/>
      <w:b/>
      <w:color w:val="1F3864"/>
      <w:sz w:val="40"/>
    </w:rPr>
  </w:style>
  <w:style w:type="paragraph" w:styleId="1">
    <w:name w:val="heading 1"/>
    <w:basedOn w:val="a"/>
    <w:next w:val="a"/>
    <w:pPr>
      <w:keepNext/>
      <w:spacing w:before="240" w:after="120"/>
      <w:outlineLvl w:val="0"/>
    </w:pPr>
    <w:rPr>
      <w:rFonts w:asciiTheme="majorHAnsi" w:eastAsiaTheme="majorEastAsia"/>
      <w:b/>
      <w:color w:themeColor="accent1" w:themeShade="BF"/>
      <w:sz w:val="28"/>
    </w:rPr>
  </w:style>
  <w:style w:type="paragraph" w:styleId="2">
    <w:name w:val="heading 2"/>
    <w:basedOn w:val="a"/>
    <w:next w:val="a"/>
    <w:pPr>
      <w:keepNext/>
      <w:spacing w:before="160" w:after="80"/>
      <w:outlineLvl w:val="1"/>
    </w:pPr>
    <w:rPr>
      <w:b/>
      <w:sz w:val="24"/>
    </w:rPr>
  </w:style>
  <w:style w:type="paragraph" w:styleId="List">
    <w:name w:val="List Paragraph"/>
    <w:basedOn w:val="a"/>
    <w:pPr>
      <w:ind w:left="720"/>
      <w:contextualSpacing/>
    </w:pPr>
  </w:style>
  <w:style w:type="paragraph" w:styleId="FootnoteText">
    <w:name w:val="footnote text"/>
    <w:basedOn w:val="a"/>
    <w:pPr>
      <w:spacing w:after="0"/>
      <w:jc w:val="left"/>
    </w:pPr>
    <w:rPr>
      <w:sz w:val="18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themeColor="hyperlink"/>
      <w:u w:val="single"/>
    </w:rPr>
  </w:style>
  <w:style w:type="character" w:styleId="Strong">
    <w:name w:val="Strong"/>
    <w:rPr>
      <w:b/>
    </w:rPr>
  </w:style>
  <w:style w:type="paragraph" w:styleId="Header">
    <w:name w:val="header"/>
    <w:basedOn w:val="a"/>
    <w:pPr>
      <w:tabs>
        <w:tab w:val="center" w:pos="4513"/>
        <w:tab w:val="right" w:pos="9026"/>
      </w:tabs>
      <w:spacing w:after="0"/>
    </w:pPr>
    <w:rPr>
      <w:sz w:val="18"/>
    </w:rPr>
  </w:style>
  <w:style w:type="paragraph" w:styleId="TOC1">
    <w:name w:val="toc 1"/>
    <w:basedOn w:val="a"/>
    <w:pPr>
      <w:tabs>
        <w:tab w:val="right" w:leader="dot" w:pos="9016"/>
      </w:tabs>
      <w:spacing w:after="60"/>
    </w:pPr>
  </w:style>
  <w:style w:type="table" w:styleId="Grid">
    <w:name w:val="Grid Table 4 Accent 1"/>
    <w:basedOn w:val="a1"/>
    <w:tblPr>
      <w:tblStyleRowBandSize w:val="1"/>
      <w:tblStyleColBandSize w:val="1"/>
      <w:tblBorders>
        <w:top w:val="single" w:sz="4" w:color="8EAADB"/>
        <w:left w:val="single" w:sz="4" w:color="8EAADB"/>
        <w:bottom w:val="single" w:sz="4" w:color="8EAADB"/>
        <w:right w:val="single" w:sz="4" w:color="8EAADB"/>
        <w:insideH w:val="single" w:sz="4" w:color="8EAADB"/>
        <w:insideV w:val="single" w:sz="4" w:color="8EAADB"/>
      </w:tblBorders>
    </w:tblPr>
    <w:tblStylePr w:type="firstRow">
      <w:rPr>
        <w:b/>
        <w:color w:val="FFFFFF"/>
      </w:rPr>
      <w:tcPr>
        <w:shd w:val="clear" w:color="auto" w:fill="4472C4"/>
      </w:tcPr>
    </w:tblStylePr>
    <w:tblStylePr w:type="band1Horz">
      <w:tcPr>
        <w:shd w:val="clear" w:color="auto" w:fill="D9E2F3"/>
      </w:tcPr>
    </w:tblStyle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游ゴシック Light"/>
      </a:majorFont>
      <a:minorFont>
        <a:latin typeface="Century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数式</dc:title>
  <dc:creator>BDF</dc:creator>
  <dcterms:created xsi:type="dcterms:W3CDTF">2026-09-26T09:00:00Z</dcterms:created>
</cp:coreProperties>
</file>