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022af2eeb15d466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C7F" w:rsidRPr="005B565A" w:rsidRDefault="00BF1C7F">
      <w:pPr>
        <w:spacing w:line="360" w:lineRule="auto"/>
        <w:jc w:val="left"/>
        <w:rPr>
          <w:rFonts w:ascii="微软雅黑" w:eastAsia="微软雅黑" w:hAnsi="微软雅黑" w:cs="宋体"/>
          <w:b/>
          <w:bCs/>
          <w:szCs w:val="21"/>
        </w:rPr>
      </w:pPr>
    </w:p>
    <w:p w:rsidR="00BF1C7F" w:rsidRPr="005B565A" w:rsidRDefault="006B4379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5B565A">
        <w:rPr>
          <w:rFonts w:ascii="微软雅黑" w:eastAsia="微软雅黑" w:hAnsi="微软雅黑" w:cs="微软雅黑"/>
          <w:bCs/>
          <w:szCs w:val="21"/>
        </w:rPr>
        <w:t>9月</w:t>
      </w:r>
      <w:r w:rsidR="002079F9" w:rsidRPr="005B565A">
        <w:rPr>
          <w:rFonts w:ascii="微软雅黑" w:eastAsia="微软雅黑" w:hAnsi="微软雅黑" w:cs="微软雅黑" w:hint="eastAsia"/>
          <w:bCs/>
          <w:szCs w:val="21"/>
        </w:rPr>
        <w:t>2</w:t>
      </w:r>
      <w:r w:rsidRPr="005B565A">
        <w:rPr>
          <w:rFonts w:ascii="微软雅黑" w:eastAsia="微软雅黑" w:hAnsi="微软雅黑" w:cs="微软雅黑"/>
          <w:bCs/>
          <w:szCs w:val="21"/>
        </w:rPr>
        <w:t>日-7日，2021年中国国际服务贸易交易会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在北京盛大举行。在首钢园区的</w:t>
      </w:r>
      <w:r w:rsidRPr="005B565A">
        <w:rPr>
          <w:rFonts w:ascii="微软雅黑" w:eastAsia="微软雅黑" w:hAnsi="微软雅黑" w:cs="微软雅黑"/>
          <w:bCs/>
          <w:szCs w:val="21"/>
        </w:rPr>
        <w:t>金融服务专题展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上，</w:t>
      </w:r>
      <w:r w:rsidR="002079F9" w:rsidRPr="005B565A">
        <w:rPr>
          <w:rFonts w:ascii="微软雅黑" w:eastAsia="微软雅黑" w:hAnsi="微软雅黑" w:cs="微软雅黑"/>
          <w:bCs/>
          <w:szCs w:val="21"/>
        </w:rPr>
        <w:t>京东科技</w:t>
      </w:r>
      <w:r w:rsidR="00BF0002" w:rsidRPr="005B565A">
        <w:rPr>
          <w:rFonts w:ascii="微软雅黑" w:eastAsia="微软雅黑" w:hAnsi="微软雅黑" w:cs="微软雅黑"/>
          <w:bCs/>
          <w:szCs w:val="21"/>
        </w:rPr>
        <w:t>作为数字人民币综合技术服务商，携在数字人民币试点过程中的供应链+场景+技术的服务实践重磅</w:t>
      </w:r>
      <w:r w:rsidR="002079F9" w:rsidRPr="005B565A">
        <w:rPr>
          <w:rFonts w:ascii="微软雅黑" w:eastAsia="微软雅黑" w:hAnsi="微软雅黑" w:cs="微软雅黑"/>
          <w:bCs/>
          <w:szCs w:val="21"/>
        </w:rPr>
        <w:t>亮相</w:t>
      </w:r>
      <w:r w:rsidR="002079F9" w:rsidRPr="005B565A">
        <w:rPr>
          <w:rFonts w:ascii="微软雅黑" w:eastAsia="微软雅黑" w:hAnsi="微软雅黑" w:cs="微软雅黑" w:hint="eastAsia"/>
          <w:bCs/>
          <w:szCs w:val="21"/>
        </w:rPr>
        <w:t>，并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重</w:t>
      </w:r>
      <w:proofErr w:type="gramStart"/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点</w:t>
      </w:r>
      <w:r w:rsidR="00BF0002" w:rsidRPr="005B565A">
        <w:rPr>
          <w:rFonts w:ascii="微软雅黑" w:eastAsia="微软雅黑" w:hAnsi="微软雅黑" w:hint="eastAsia"/>
          <w:szCs w:val="21"/>
        </w:rPr>
        <w:t>发布</w:t>
      </w:r>
      <w:proofErr w:type="gramEnd"/>
      <w:r w:rsidR="00BF0002" w:rsidRPr="005B565A">
        <w:rPr>
          <w:rFonts w:ascii="微软雅黑" w:eastAsia="微软雅黑" w:hAnsi="微软雅黑" w:hint="eastAsia"/>
          <w:szCs w:val="21"/>
        </w:rPr>
        <w:t>了数字人民币在企业采购领域的</w:t>
      </w:r>
      <w:proofErr w:type="spellStart"/>
      <w:r w:rsidR="00BF0002" w:rsidRPr="005B565A">
        <w:rPr>
          <w:rFonts w:ascii="微软雅黑" w:eastAsia="微软雅黑" w:hAnsi="微软雅黑"/>
          <w:szCs w:val="21"/>
        </w:rPr>
        <w:t>ToB</w:t>
      </w:r>
      <w:proofErr w:type="spellEnd"/>
      <w:r w:rsidR="00BF0002" w:rsidRPr="005B565A">
        <w:rPr>
          <w:rFonts w:ascii="微软雅黑" w:eastAsia="微软雅黑" w:hAnsi="微软雅黑" w:hint="eastAsia"/>
          <w:szCs w:val="21"/>
        </w:rPr>
        <w:t>支付</w:t>
      </w:r>
      <w:r w:rsidR="00BF0002" w:rsidRPr="005B565A">
        <w:rPr>
          <w:rFonts w:ascii="微软雅黑" w:eastAsia="微软雅黑" w:hAnsi="微软雅黑"/>
          <w:szCs w:val="21"/>
        </w:rPr>
        <w:t>技术解决方案</w:t>
      </w:r>
      <w:r w:rsidR="002079F9" w:rsidRPr="005B565A">
        <w:rPr>
          <w:rFonts w:ascii="微软雅黑" w:eastAsia="微软雅黑" w:hAnsi="微软雅黑" w:hint="eastAsia"/>
          <w:szCs w:val="21"/>
        </w:rPr>
        <w:t>。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企业快捷支付“易企付”作为企业支付领域的创新产品，在支持企业对公户的基础上，增加数字人民币支付能力，拓宽</w:t>
      </w:r>
      <w:r w:rsidR="002079F9" w:rsidRPr="005B565A">
        <w:rPr>
          <w:rFonts w:ascii="微软雅黑" w:eastAsia="微软雅黑" w:hAnsi="微软雅黑" w:cs="微软雅黑" w:hint="eastAsia"/>
          <w:bCs/>
          <w:szCs w:val="21"/>
        </w:rPr>
        <w:t>了</w:t>
      </w:r>
      <w:r w:rsidRPr="005B565A">
        <w:rPr>
          <w:rFonts w:ascii="微软雅黑" w:eastAsia="微软雅黑" w:hAnsi="微软雅黑" w:cs="微软雅黑"/>
          <w:bCs/>
          <w:szCs w:val="21"/>
        </w:rPr>
        <w:t>数字人民币在B端场景的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试点应用</w:t>
      </w:r>
      <w:r w:rsidRPr="005B565A">
        <w:rPr>
          <w:rFonts w:ascii="微软雅黑" w:eastAsia="微软雅黑" w:hAnsi="微软雅黑" w:cs="微软雅黑"/>
          <w:bCs/>
          <w:szCs w:val="21"/>
        </w:rPr>
        <w:t xml:space="preserve">。　</w:t>
      </w:r>
    </w:p>
    <w:p w:rsidR="007A2FAE" w:rsidRPr="005B565A" w:rsidRDefault="005B565A" w:rsidP="005B565A">
      <w:pPr>
        <w:ind w:firstLineChars="200" w:firstLine="420"/>
        <w:rPr>
          <w:rStyle w:val="bjh-p"/>
          <w:rFonts w:ascii="微软雅黑" w:eastAsia="微软雅黑" w:hAnsi="微软雅黑"/>
          <w:szCs w:val="21"/>
          <w:highlight w:val="yellow"/>
        </w:rPr>
      </w:pPr>
      <w:r w:rsidRPr="005B565A">
        <w:rPr>
          <w:rStyle w:val="bjh-p"/>
          <w:rFonts w:ascii="微软雅黑" w:eastAsia="微软雅黑" w:hAnsi="微软雅黑"/>
          <w:szCs w:val="21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76.5pt;mso-position-horizontal:absolute;mso-position-horizontal-relative:text;mso-position-vertical:absolute;mso-position-vertical-relative:text;mso-width-relative:page;mso-height-relative:page">
            <v:imagedata r:id="rId7" o:title="易企付"/>
          </v:shape>
        </w:pict>
      </w:r>
    </w:p>
    <w:p w:rsidR="007A2FAE" w:rsidRPr="005B565A" w:rsidRDefault="005B565A" w:rsidP="007A2FAE">
      <w:pPr>
        <w:ind w:firstLineChars="200" w:firstLine="400"/>
        <w:jc w:val="center"/>
        <w:rPr>
          <w:rFonts w:ascii="微软雅黑" w:eastAsia="微软雅黑" w:hAnsi="微软雅黑"/>
          <w:szCs w:val="21"/>
        </w:rPr>
      </w:pPr>
      <w:r w:rsidRPr="005B565A">
        <w:rPr>
          <w:rFonts w:ascii="楷体" w:eastAsia="楷体" w:hAnsi="楷体"/>
          <w:sz w:val="20"/>
          <w:szCs w:val="20"/>
        </w:rPr>
        <w:t>Marked</w:t>
      </w:r>
      <w:r w:rsidRPr="005B565A">
        <w:rPr>
          <w:rFonts w:ascii="楷体" w:eastAsia="楷体" w:hAnsi="楷体" w:hint="eastAsia"/>
          <w:sz w:val="20"/>
          <w:szCs w:val="20"/>
        </w:rPr>
        <w:t>：</w:t>
      </w:r>
      <w:r w:rsidR="007A2FAE" w:rsidRPr="005B565A">
        <w:rPr>
          <w:rFonts w:ascii="楷体" w:eastAsia="楷体" w:hAnsi="楷体" w:hint="eastAsia"/>
          <w:sz w:val="20"/>
          <w:szCs w:val="20"/>
        </w:rPr>
        <w:t>“易企付”平台支持数字人民币使用</w:t>
      </w:r>
      <w:r w:rsidR="00362D2E" w:rsidRPr="005B565A">
        <w:rPr>
          <w:rFonts w:ascii="楷体" w:eastAsia="楷体" w:hAnsi="楷体" w:hint="eastAsia"/>
          <w:sz w:val="20"/>
          <w:szCs w:val="20"/>
        </w:rPr>
        <w:t>受</w:t>
      </w:r>
      <w:r w:rsidR="007A2FAE" w:rsidRPr="005B565A">
        <w:rPr>
          <w:rFonts w:ascii="楷体" w:eastAsia="楷体" w:hAnsi="楷体" w:hint="eastAsia"/>
          <w:sz w:val="20"/>
          <w:szCs w:val="20"/>
        </w:rPr>
        <w:t>关注</w:t>
      </w:r>
    </w:p>
    <w:p w:rsidR="00BF1C7F" w:rsidRPr="005B565A" w:rsidRDefault="006B4379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5B565A">
        <w:rPr>
          <w:rFonts w:ascii="微软雅黑" w:eastAsia="微软雅黑" w:hAnsi="微软雅黑" w:cs="微软雅黑" w:hint="eastAsia"/>
          <w:bCs/>
          <w:szCs w:val="21"/>
        </w:rPr>
        <w:t>“易企付”是京东科技为</w:t>
      </w:r>
      <w:r w:rsidRPr="005B565A">
        <w:rPr>
          <w:rFonts w:ascii="微软雅黑" w:eastAsia="微软雅黑" w:hAnsi="微软雅黑" w:cs="微软雅黑"/>
          <w:bCs/>
          <w:szCs w:val="21"/>
        </w:rPr>
        <w:t>B2B平台及企业创新打造的企业快捷支付产品，已与京东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企业购、</w:t>
      </w:r>
      <w:proofErr w:type="gramStart"/>
      <w:r w:rsidRPr="005B565A">
        <w:rPr>
          <w:rFonts w:ascii="微软雅黑" w:eastAsia="微软雅黑" w:hAnsi="微软雅黑" w:cs="微软雅黑" w:hint="eastAsia"/>
          <w:bCs/>
          <w:szCs w:val="21"/>
        </w:rPr>
        <w:t>铜道电</w:t>
      </w:r>
      <w:proofErr w:type="gramEnd"/>
      <w:r w:rsidRPr="005B565A">
        <w:rPr>
          <w:rFonts w:ascii="微软雅黑" w:eastAsia="微软雅黑" w:hAnsi="微软雅黑" w:cs="微软雅黑" w:hint="eastAsia"/>
          <w:bCs/>
          <w:szCs w:val="21"/>
        </w:rPr>
        <w:t>商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、</w:t>
      </w:r>
      <w:proofErr w:type="gramStart"/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齐鲁云商</w:t>
      </w:r>
      <w:proofErr w:type="gramEnd"/>
      <w:r w:rsidRPr="005B565A">
        <w:rPr>
          <w:rFonts w:ascii="微软雅黑" w:eastAsia="微软雅黑" w:hAnsi="微软雅黑" w:cs="微软雅黑" w:hint="eastAsia"/>
          <w:bCs/>
          <w:szCs w:val="21"/>
        </w:rPr>
        <w:t>等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多家</w:t>
      </w:r>
      <w:r w:rsidRPr="005B565A">
        <w:rPr>
          <w:rFonts w:ascii="微软雅黑" w:eastAsia="微软雅黑" w:hAnsi="微软雅黑" w:cs="微软雅黑"/>
          <w:bCs/>
          <w:szCs w:val="21"/>
        </w:rPr>
        <w:t>B2B平台达成合作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。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在不改变企业现有采购打款流程的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基础上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，</w:t>
      </w:r>
      <w:r w:rsidRPr="005B565A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降低人工成本，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提升交易效率。</w:t>
      </w:r>
    </w:p>
    <w:p w:rsidR="00BF1C7F" w:rsidRPr="005B565A" w:rsidRDefault="006B4379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5B565A">
        <w:rPr>
          <w:rFonts w:ascii="微软雅黑" w:eastAsia="微软雅黑" w:hAnsi="微软雅黑" w:cs="微软雅黑" w:hint="eastAsia"/>
          <w:bCs/>
          <w:szCs w:val="21"/>
        </w:rPr>
        <w:t>此次，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京东科技联合中国工商银行，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共同打造并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实现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了“易企付”支持数字人民币，为</w:t>
      </w:r>
      <w:r w:rsidRPr="005B565A">
        <w:rPr>
          <w:rFonts w:ascii="微软雅黑" w:eastAsia="微软雅黑" w:hAnsi="微软雅黑" w:cs="微软雅黑"/>
          <w:bCs/>
          <w:szCs w:val="21"/>
        </w:rPr>
        <w:t>数字人民币在B</w:t>
      </w:r>
      <w:proofErr w:type="gramStart"/>
      <w:r w:rsidRPr="005B565A">
        <w:rPr>
          <w:rFonts w:ascii="微软雅黑" w:eastAsia="微软雅黑" w:hAnsi="微软雅黑" w:cs="微软雅黑"/>
          <w:bCs/>
          <w:szCs w:val="21"/>
        </w:rPr>
        <w:t>端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提供</w:t>
      </w:r>
      <w:proofErr w:type="gramEnd"/>
      <w:r w:rsidRPr="005B565A">
        <w:rPr>
          <w:rFonts w:ascii="微软雅黑" w:eastAsia="微软雅黑" w:hAnsi="微软雅黑" w:cs="微软雅黑" w:hint="eastAsia"/>
          <w:bCs/>
          <w:szCs w:val="21"/>
        </w:rPr>
        <w:t>更广阔的应用空间。企业进行采购时，可以选择使用数字人民币支付，一方面，对于付款企业来说，操作更加便捷顺畅，</w:t>
      </w:r>
      <w:proofErr w:type="gramStart"/>
      <w:r w:rsidRPr="005B565A">
        <w:rPr>
          <w:rFonts w:ascii="微软雅黑" w:eastAsia="微软雅黑" w:hAnsi="微软雅黑" w:cs="微软雅黑" w:hint="eastAsia"/>
          <w:bCs/>
          <w:szCs w:val="21"/>
        </w:rPr>
        <w:t>且试点</w:t>
      </w:r>
      <w:proofErr w:type="gramEnd"/>
      <w:r w:rsidRPr="005B565A">
        <w:rPr>
          <w:rFonts w:ascii="微软雅黑" w:eastAsia="微软雅黑" w:hAnsi="微软雅黑" w:cs="微软雅黑" w:hint="eastAsia"/>
          <w:bCs/>
          <w:szCs w:val="21"/>
        </w:rPr>
        <w:t>阶段可大量节约支付手续费成本；另一方面，对于平台运营来说，可以实现款项</w:t>
      </w:r>
      <w:r w:rsidRPr="005B565A">
        <w:rPr>
          <w:rFonts w:ascii="微软雅黑" w:eastAsia="微软雅黑" w:hAnsi="微软雅黑" w:cs="微软雅黑"/>
          <w:bCs/>
          <w:szCs w:val="21"/>
        </w:rPr>
        <w:t>实时到账及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订单自动</w:t>
      </w:r>
      <w:r w:rsidRPr="005B565A">
        <w:rPr>
          <w:rFonts w:ascii="微软雅黑" w:eastAsia="微软雅黑" w:hAnsi="微软雅黑" w:cs="微软雅黑"/>
          <w:bCs/>
          <w:szCs w:val="21"/>
        </w:rPr>
        <w:t>核销</w:t>
      </w:r>
      <w:r w:rsidR="002079F9" w:rsidRPr="005B565A">
        <w:rPr>
          <w:rFonts w:ascii="微软雅黑" w:eastAsia="微软雅黑" w:hAnsi="微软雅黑" w:cs="微软雅黑" w:hint="eastAsia"/>
          <w:bCs/>
          <w:szCs w:val="21"/>
        </w:rPr>
        <w:t>，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从而</w:t>
      </w:r>
      <w:r w:rsidRPr="005B565A">
        <w:rPr>
          <w:rFonts w:ascii="微软雅黑" w:eastAsia="微软雅黑" w:hAnsi="微软雅黑" w:cs="微软雅黑"/>
          <w:bCs/>
          <w:szCs w:val="21"/>
        </w:rPr>
        <w:t>实现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了交</w:t>
      </w:r>
      <w:r w:rsidRPr="005B565A">
        <w:rPr>
          <w:rFonts w:ascii="微软雅黑" w:eastAsia="微软雅黑" w:hAnsi="微软雅黑" w:cs="微软雅黑" w:hint="eastAsia"/>
          <w:bCs/>
          <w:szCs w:val="21"/>
        </w:rPr>
        <w:lastRenderedPageBreak/>
        <w:t>易从</w:t>
      </w:r>
      <w:r w:rsidRPr="005B565A">
        <w:rPr>
          <w:rFonts w:ascii="微软雅黑" w:eastAsia="微软雅黑" w:hAnsi="微软雅黑" w:cs="微软雅黑"/>
          <w:bCs/>
          <w:szCs w:val="21"/>
        </w:rPr>
        <w:t>下单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、</w:t>
      </w:r>
      <w:r w:rsidRPr="005B565A">
        <w:rPr>
          <w:rFonts w:ascii="微软雅黑" w:eastAsia="微软雅黑" w:hAnsi="微软雅黑" w:cs="微软雅黑"/>
          <w:bCs/>
          <w:szCs w:val="21"/>
        </w:rPr>
        <w:t>付款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、</w:t>
      </w:r>
      <w:r w:rsidRPr="005B565A">
        <w:rPr>
          <w:rFonts w:ascii="微软雅黑" w:eastAsia="微软雅黑" w:hAnsi="微软雅黑" w:cs="微软雅黑"/>
          <w:bCs/>
          <w:szCs w:val="21"/>
        </w:rPr>
        <w:t>认款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、</w:t>
      </w:r>
      <w:r w:rsidRPr="005B565A">
        <w:rPr>
          <w:rFonts w:ascii="微软雅黑" w:eastAsia="微软雅黑" w:hAnsi="微软雅黑" w:cs="微软雅黑" w:hint="eastAsia"/>
          <w:bCs/>
          <w:szCs w:val="21"/>
          <w:lang w:eastAsia="zh-Hans"/>
        </w:rPr>
        <w:t>履约</w:t>
      </w:r>
      <w:r w:rsidRPr="005B565A">
        <w:rPr>
          <w:rFonts w:ascii="微软雅黑" w:eastAsia="微软雅黑" w:hAnsi="微软雅黑" w:cs="微软雅黑"/>
          <w:bCs/>
          <w:szCs w:val="21"/>
        </w:rPr>
        <w:t>等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全流程的</w:t>
      </w:r>
      <w:r w:rsidRPr="005B565A">
        <w:rPr>
          <w:rFonts w:ascii="微软雅黑" w:eastAsia="微软雅黑" w:hAnsi="微软雅黑" w:cs="微软雅黑"/>
          <w:bCs/>
          <w:szCs w:val="21"/>
        </w:rPr>
        <w:t>自动化，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提高采购从下单到履约的效率，极大</w:t>
      </w:r>
      <w:r w:rsidR="002079F9" w:rsidRPr="005B565A">
        <w:rPr>
          <w:rFonts w:ascii="微软雅黑" w:eastAsia="微软雅黑" w:hAnsi="微软雅黑" w:cs="微软雅黑" w:hint="eastAsia"/>
          <w:bCs/>
          <w:szCs w:val="21"/>
        </w:rPr>
        <w:t>地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提升了用户的体验。</w:t>
      </w:r>
    </w:p>
    <w:p w:rsidR="00BF1C7F" w:rsidRPr="005B565A" w:rsidRDefault="006B4379" w:rsidP="005B565A">
      <w:pPr>
        <w:spacing w:line="360" w:lineRule="auto"/>
        <w:ind w:firstLineChars="200" w:firstLine="420"/>
        <w:jc w:val="center"/>
        <w:rPr>
          <w:rFonts w:ascii="微软雅黑" w:eastAsia="微软雅黑" w:hAnsi="微软雅黑" w:cs="微软雅黑"/>
          <w:szCs w:val="21"/>
        </w:rPr>
      </w:pPr>
      <w:bookmarkStart w:id="0" w:name="_GoBack"/>
      <w:r w:rsidRPr="005B565A">
        <w:rPr>
          <w:rFonts w:ascii="微软雅黑" w:eastAsia="微软雅黑" w:hAnsi="微软雅黑"/>
          <w:noProof/>
          <w:szCs w:val="21"/>
        </w:rPr>
        <w:drawing>
          <wp:inline distT="0" distB="0" distL="114300" distR="114300">
            <wp:extent cx="4794885" cy="2093595"/>
            <wp:effectExtent l="9525" t="9525" r="2159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0935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F1C7F" w:rsidRPr="005B565A" w:rsidRDefault="006B4379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5B565A">
        <w:rPr>
          <w:rFonts w:ascii="微软雅黑" w:eastAsia="微软雅黑" w:hAnsi="微软雅黑" w:cs="微软雅黑" w:hint="eastAsia"/>
          <w:bCs/>
          <w:kern w:val="0"/>
          <w:szCs w:val="21"/>
        </w:rPr>
        <w:t>据了解，</w:t>
      </w:r>
      <w:r w:rsidRPr="005B565A">
        <w:rPr>
          <w:rFonts w:ascii="微软雅黑" w:eastAsia="微软雅黑" w:hAnsi="微软雅黑" w:cs="微软雅黑"/>
          <w:bCs/>
          <w:kern w:val="0"/>
          <w:szCs w:val="21"/>
        </w:rPr>
        <w:t>深圳</w:t>
      </w:r>
      <w:proofErr w:type="gramStart"/>
      <w:r w:rsidRPr="005B565A">
        <w:rPr>
          <w:rFonts w:ascii="微软雅黑" w:eastAsia="微软雅黑" w:hAnsi="微软雅黑" w:cs="微软雅黑"/>
          <w:bCs/>
          <w:kern w:val="0"/>
          <w:szCs w:val="21"/>
        </w:rPr>
        <w:t>研</w:t>
      </w:r>
      <w:proofErr w:type="gramEnd"/>
      <w:r w:rsidRPr="005B565A">
        <w:rPr>
          <w:rFonts w:ascii="微软雅黑" w:eastAsia="微软雅黑" w:hAnsi="微软雅黑" w:cs="微软雅黑"/>
          <w:bCs/>
          <w:kern w:val="0"/>
          <w:szCs w:val="21"/>
        </w:rPr>
        <w:t>亚通、中国银行大连分行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  <w:lang w:eastAsia="zh-Hans"/>
        </w:rPr>
        <w:t>、</w:t>
      </w:r>
      <w:r w:rsidRPr="005B565A">
        <w:rPr>
          <w:rFonts w:ascii="微软雅黑" w:eastAsia="微软雅黑" w:hAnsi="微软雅黑" w:cs="微软雅黑"/>
          <w:bCs/>
          <w:kern w:val="0"/>
          <w:szCs w:val="21"/>
        </w:rPr>
        <w:t>北京都合适家居装饰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  <w:lang w:eastAsia="zh-Hans"/>
        </w:rPr>
        <w:t>等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</w:rPr>
        <w:t>已</w:t>
      </w:r>
      <w:r w:rsidRPr="005B565A">
        <w:rPr>
          <w:rFonts w:ascii="微软雅黑" w:eastAsia="微软雅黑" w:hAnsi="微软雅黑" w:cs="微软雅黑"/>
          <w:bCs/>
          <w:kern w:val="0"/>
          <w:szCs w:val="21"/>
        </w:rPr>
        <w:t>分别在京东企业业务旗下京东</w:t>
      </w:r>
      <w:proofErr w:type="gramStart"/>
      <w:r w:rsidRPr="005B565A">
        <w:rPr>
          <w:rFonts w:ascii="微软雅黑" w:eastAsia="微软雅黑" w:hAnsi="微软雅黑" w:cs="微软雅黑"/>
          <w:bCs/>
          <w:kern w:val="0"/>
          <w:szCs w:val="21"/>
        </w:rPr>
        <w:t>慧采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  <w:lang w:eastAsia="zh-Hans"/>
        </w:rPr>
        <w:t>标准</w:t>
      </w:r>
      <w:proofErr w:type="gramEnd"/>
      <w:r w:rsidRPr="005B565A">
        <w:rPr>
          <w:rFonts w:ascii="微软雅黑" w:eastAsia="微软雅黑" w:hAnsi="微软雅黑" w:cs="微软雅黑" w:hint="eastAsia"/>
          <w:bCs/>
          <w:kern w:val="0"/>
          <w:szCs w:val="21"/>
          <w:lang w:eastAsia="zh-Hans"/>
        </w:rPr>
        <w:t>版及旗舰版、</w:t>
      </w:r>
      <w:r w:rsidRPr="005B565A">
        <w:rPr>
          <w:rFonts w:ascii="微软雅黑" w:eastAsia="微软雅黑" w:hAnsi="微软雅黑" w:cs="微软雅黑"/>
          <w:bCs/>
          <w:kern w:val="0"/>
          <w:szCs w:val="21"/>
        </w:rPr>
        <w:t>京东企业购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  <w:lang w:eastAsia="zh-Hans"/>
        </w:rPr>
        <w:t>等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</w:rPr>
        <w:t>平台体验了用数字人民币支付</w:t>
      </w:r>
      <w:r w:rsidRPr="005B565A">
        <w:rPr>
          <w:rFonts w:ascii="微软雅黑" w:eastAsia="微软雅黑" w:hAnsi="微软雅黑" w:cs="微软雅黑"/>
          <w:bCs/>
          <w:kern w:val="0"/>
          <w:szCs w:val="21"/>
        </w:rPr>
        <w:t>货款</w:t>
      </w:r>
      <w:r w:rsidRPr="005B565A">
        <w:rPr>
          <w:rFonts w:ascii="微软雅黑" w:eastAsia="微软雅黑" w:hAnsi="微软雅黑" w:cs="微软雅黑" w:hint="eastAsia"/>
          <w:bCs/>
          <w:kern w:val="0"/>
          <w:szCs w:val="21"/>
        </w:rPr>
        <w:t>。</w:t>
      </w:r>
      <w:r w:rsidRPr="005B565A">
        <w:rPr>
          <w:rFonts w:ascii="微软雅黑" w:eastAsia="微软雅黑" w:hAnsi="微软雅黑" w:cs="微软雅黑"/>
          <w:bCs/>
          <w:szCs w:val="21"/>
        </w:rPr>
        <w:t>北京都合适家居装饰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负责人表示：</w:t>
      </w:r>
      <w:r w:rsidRPr="005B565A">
        <w:rPr>
          <w:rFonts w:ascii="微软雅黑" w:eastAsia="微软雅黑" w:hAnsi="微软雅黑" w:cs="微软雅黑"/>
          <w:bCs/>
          <w:szCs w:val="21"/>
        </w:rPr>
        <w:t>“相较传统采购支付方式，数字人民币支付过程成本低、到账快、不受时间限制，既能够满足企业财务及税务审计等要求，同时简化了操作流程，极大地降低了我们的人力成本，提升了我们的日常运营效率。”</w:t>
      </w:r>
    </w:p>
    <w:p w:rsidR="00BF1C7F" w:rsidRPr="005B565A" w:rsidRDefault="006B4379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5B565A">
        <w:rPr>
          <w:rFonts w:ascii="微软雅黑" w:eastAsia="微软雅黑" w:hAnsi="微软雅黑" w:cs="微软雅黑"/>
          <w:bCs/>
          <w:szCs w:val="21"/>
        </w:rPr>
        <w:t>随着数字人民币底层技术和运营体系不断成熟、稳定，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数字人民币试点已进入</w:t>
      </w:r>
      <w:r w:rsidRPr="005B565A">
        <w:rPr>
          <w:rFonts w:ascii="微软雅黑" w:eastAsia="微软雅黑" w:hAnsi="微软雅黑" w:cs="微软雅黑"/>
          <w:bCs/>
          <w:szCs w:val="21"/>
        </w:rPr>
        <w:t>从 C</w:t>
      </w:r>
      <w:proofErr w:type="gramStart"/>
      <w:r w:rsidRPr="005B565A">
        <w:rPr>
          <w:rFonts w:ascii="微软雅黑" w:eastAsia="微软雅黑" w:hAnsi="微软雅黑" w:cs="微软雅黑" w:hint="eastAsia"/>
          <w:bCs/>
          <w:szCs w:val="21"/>
        </w:rPr>
        <w:t>端</w:t>
      </w:r>
      <w:r w:rsidRPr="005B565A">
        <w:rPr>
          <w:rFonts w:ascii="微软雅黑" w:eastAsia="微软雅黑" w:hAnsi="微软雅黑" w:cs="微软雅黑"/>
          <w:bCs/>
          <w:szCs w:val="21"/>
        </w:rPr>
        <w:t>走向</w:t>
      </w:r>
      <w:proofErr w:type="gramEnd"/>
      <w:r w:rsidRPr="005B565A">
        <w:rPr>
          <w:rFonts w:ascii="微软雅黑" w:eastAsia="微软雅黑" w:hAnsi="微软雅黑" w:cs="微软雅黑"/>
          <w:bCs/>
          <w:szCs w:val="21"/>
        </w:rPr>
        <w:t xml:space="preserve"> B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端的</w:t>
      </w:r>
      <w:r w:rsidRPr="005B565A">
        <w:rPr>
          <w:rFonts w:ascii="微软雅黑" w:eastAsia="微软雅黑" w:hAnsi="微软雅黑" w:cs="微软雅黑"/>
          <w:bCs/>
          <w:szCs w:val="21"/>
        </w:rPr>
        <w:t>多维度扩容阶段。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京东科技</w:t>
      </w:r>
      <w:r w:rsidRPr="005B565A">
        <w:rPr>
          <w:rFonts w:ascii="微软雅黑" w:eastAsia="微软雅黑" w:hAnsi="微软雅黑" w:cs="微软雅黑"/>
          <w:bCs/>
          <w:szCs w:val="21"/>
        </w:rPr>
        <w:t>数字人民币项目负责人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、</w:t>
      </w:r>
      <w:r w:rsidRPr="005B565A">
        <w:rPr>
          <w:rFonts w:ascii="微软雅黑" w:eastAsia="微软雅黑" w:hAnsi="微软雅黑" w:cs="微软雅黑"/>
          <w:bCs/>
          <w:szCs w:val="21"/>
        </w:rPr>
        <w:t>企业支付产品部总经理彭飞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表示，</w:t>
      </w:r>
      <w:proofErr w:type="gramStart"/>
      <w:r w:rsidRPr="005B565A">
        <w:rPr>
          <w:rFonts w:ascii="微软雅黑" w:eastAsia="微软雅黑" w:hAnsi="微软雅黑" w:cs="微软雅黑" w:hint="eastAsia"/>
          <w:bCs/>
          <w:szCs w:val="21"/>
        </w:rPr>
        <w:t>易企付作为</w:t>
      </w:r>
      <w:proofErr w:type="gramEnd"/>
      <w:r w:rsidRPr="005B565A">
        <w:rPr>
          <w:rFonts w:ascii="微软雅黑" w:eastAsia="微软雅黑" w:hAnsi="微软雅黑" w:cs="微软雅黑" w:hint="eastAsia"/>
          <w:bCs/>
          <w:szCs w:val="21"/>
        </w:rPr>
        <w:t>京东科技在企业支付领域的先头产品，</w:t>
      </w:r>
      <w:r w:rsidRPr="005B565A">
        <w:rPr>
          <w:rFonts w:ascii="微软雅黑" w:eastAsia="微软雅黑" w:hAnsi="微软雅黑" w:cs="微软雅黑"/>
          <w:bCs/>
          <w:szCs w:val="21"/>
        </w:rPr>
        <w:t>通过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对</w:t>
      </w:r>
      <w:r w:rsidRPr="005B565A">
        <w:rPr>
          <w:rFonts w:ascii="微软雅黑" w:eastAsia="微软雅黑" w:hAnsi="微软雅黑" w:cs="微软雅黑"/>
          <w:bCs/>
          <w:szCs w:val="21"/>
        </w:rPr>
        <w:t>数字人民币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的</w:t>
      </w:r>
      <w:r w:rsidRPr="005B565A">
        <w:rPr>
          <w:rFonts w:ascii="微软雅黑" w:eastAsia="微软雅黑" w:hAnsi="微软雅黑" w:cs="微软雅黑"/>
          <w:bCs/>
          <w:szCs w:val="21"/>
        </w:rPr>
        <w:t>支持，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可以更好地</w:t>
      </w:r>
      <w:r w:rsidRPr="005B565A">
        <w:rPr>
          <w:rFonts w:ascii="微软雅黑" w:eastAsia="微软雅黑" w:hAnsi="微软雅黑" w:cs="微软雅黑"/>
          <w:bCs/>
          <w:szCs w:val="21"/>
        </w:rPr>
        <w:t>助力B2B平台和企业提升数字化水平，帮助企业实现生产经营活动的降本增效。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未来，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京东科技还</w:t>
      </w:r>
      <w:r w:rsidR="00BF0002" w:rsidRPr="005B565A">
        <w:rPr>
          <w:rFonts w:ascii="微软雅黑" w:eastAsia="微软雅黑" w:hAnsi="微软雅黑" w:cs="微软雅黑"/>
          <w:bCs/>
          <w:szCs w:val="21"/>
        </w:rPr>
        <w:t>将依托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京东作为一家新型实体企业在数智化社会供应</w:t>
      </w:r>
      <w:proofErr w:type="gramStart"/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链实践</w:t>
      </w:r>
      <w:proofErr w:type="gramEnd"/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中沉淀出的对</w:t>
      </w:r>
      <w:r w:rsidR="00BF0002" w:rsidRPr="005B565A">
        <w:rPr>
          <w:rFonts w:ascii="微软雅黑" w:eastAsia="微软雅黑" w:hAnsi="微软雅黑" w:cs="微软雅黑"/>
          <w:bCs/>
          <w:szCs w:val="21"/>
        </w:rPr>
        <w:t>B2B交易的深刻洞察，</w:t>
      </w:r>
      <w:r w:rsidR="00BF0002" w:rsidRPr="005B565A">
        <w:rPr>
          <w:rFonts w:ascii="微软雅黑" w:eastAsia="微软雅黑" w:hAnsi="微软雅黑" w:cs="微软雅黑" w:hint="eastAsia"/>
          <w:bCs/>
          <w:szCs w:val="21"/>
        </w:rPr>
        <w:t>以及京东云的技术支撑</w:t>
      </w:r>
      <w:r w:rsidRPr="005B565A">
        <w:rPr>
          <w:rFonts w:ascii="微软雅黑" w:eastAsia="微软雅黑" w:hAnsi="微软雅黑" w:cs="微软雅黑"/>
          <w:bCs/>
          <w:szCs w:val="21"/>
        </w:rPr>
        <w:t>，不断推出更多智慧、便捷的，真正切合B端的企业支付产品，并与更多运营机构携手，联合拓展数字人民币在企业支付领域更加丰富的应用场景</w:t>
      </w:r>
      <w:r w:rsidRPr="005B565A">
        <w:rPr>
          <w:rFonts w:ascii="微软雅黑" w:eastAsia="微软雅黑" w:hAnsi="微软雅黑" w:cs="微软雅黑" w:hint="eastAsia"/>
          <w:bCs/>
          <w:szCs w:val="21"/>
        </w:rPr>
        <w:t>，更好地服务于实体经济。</w:t>
      </w:r>
    </w:p>
    <w:p w:rsidR="00BF1C7F" w:rsidRPr="005B565A" w:rsidRDefault="00BF1C7F">
      <w:pPr>
        <w:spacing w:line="360" w:lineRule="auto"/>
        <w:ind w:firstLineChars="200" w:firstLine="420"/>
        <w:rPr>
          <w:rFonts w:ascii="微软雅黑" w:eastAsia="微软雅黑" w:hAnsi="微软雅黑"/>
          <w:bCs/>
          <w:szCs w:val="21"/>
        </w:rPr>
      </w:pPr>
    </w:p>
    <w:sectPr w:rsidR="00BF1C7F" w:rsidRPr="005B5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7E7" w:rsidRDefault="003427E7" w:rsidP="00BF0002">
      <w:r>
        <w:separator/>
      </w:r>
    </w:p>
  </w:endnote>
  <w:endnote w:type="continuationSeparator" w:id="0">
    <w:p w:rsidR="003427E7" w:rsidRDefault="003427E7" w:rsidP="00BF0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微软雅黑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7E7" w:rsidRDefault="003427E7" w:rsidP="00BF0002">
      <w:r>
        <w:separator/>
      </w:r>
    </w:p>
  </w:footnote>
  <w:footnote w:type="continuationSeparator" w:id="0">
    <w:p w:rsidR="003427E7" w:rsidRDefault="003427E7" w:rsidP="00BF0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8A"/>
    <w:rsid w:val="FA7BF0D3"/>
    <w:rsid w:val="00021CFF"/>
    <w:rsid w:val="000C085E"/>
    <w:rsid w:val="000C31DF"/>
    <w:rsid w:val="001844DA"/>
    <w:rsid w:val="001A0C25"/>
    <w:rsid w:val="002079F9"/>
    <w:rsid w:val="00221C3A"/>
    <w:rsid w:val="002D4A93"/>
    <w:rsid w:val="003265A9"/>
    <w:rsid w:val="003427E7"/>
    <w:rsid w:val="00362D2E"/>
    <w:rsid w:val="003972E9"/>
    <w:rsid w:val="00434F9F"/>
    <w:rsid w:val="00446ECC"/>
    <w:rsid w:val="004901D4"/>
    <w:rsid w:val="004A6348"/>
    <w:rsid w:val="004E6C67"/>
    <w:rsid w:val="004F7609"/>
    <w:rsid w:val="00500C12"/>
    <w:rsid w:val="00521FDA"/>
    <w:rsid w:val="00526451"/>
    <w:rsid w:val="0059382E"/>
    <w:rsid w:val="005B565A"/>
    <w:rsid w:val="006634D8"/>
    <w:rsid w:val="0066469E"/>
    <w:rsid w:val="006736A2"/>
    <w:rsid w:val="00683276"/>
    <w:rsid w:val="0069215A"/>
    <w:rsid w:val="006B4379"/>
    <w:rsid w:val="006B57E7"/>
    <w:rsid w:val="007A2FAE"/>
    <w:rsid w:val="007E278A"/>
    <w:rsid w:val="00A4626B"/>
    <w:rsid w:val="00A95745"/>
    <w:rsid w:val="00AE2C65"/>
    <w:rsid w:val="00B91BC4"/>
    <w:rsid w:val="00BA1656"/>
    <w:rsid w:val="00BA7635"/>
    <w:rsid w:val="00BB7C89"/>
    <w:rsid w:val="00BC4712"/>
    <w:rsid w:val="00BE28C6"/>
    <w:rsid w:val="00BF0002"/>
    <w:rsid w:val="00BF1C7F"/>
    <w:rsid w:val="00CF4398"/>
    <w:rsid w:val="00CF6F6B"/>
    <w:rsid w:val="00DD20B7"/>
    <w:rsid w:val="00E908AC"/>
    <w:rsid w:val="00ED2423"/>
    <w:rsid w:val="00ED61A7"/>
    <w:rsid w:val="00F04B8F"/>
    <w:rsid w:val="00FD233B"/>
    <w:rsid w:val="00FD4117"/>
    <w:rsid w:val="0BAE05BF"/>
    <w:rsid w:val="0FBA5250"/>
    <w:rsid w:val="14152272"/>
    <w:rsid w:val="161E3792"/>
    <w:rsid w:val="2D0275B4"/>
    <w:rsid w:val="2EE83120"/>
    <w:rsid w:val="3B743CE4"/>
    <w:rsid w:val="46FE1AB9"/>
    <w:rsid w:val="4BA33819"/>
    <w:rsid w:val="7E3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A3797"/>
  <w15:docId w15:val="{0E9FA5CC-7359-43CF-A851-DCF7BE75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p1">
    <w:name w:val="p1"/>
    <w:basedOn w:val="a"/>
    <w:qFormat/>
    <w:pPr>
      <w:jc w:val="left"/>
    </w:pPr>
    <w:rPr>
      <w:rFonts w:ascii=".PingFang SC" w:eastAsia=".PingFang SC" w:hAnsi=".PingFang SC" w:cs="Times New Roman"/>
      <w:kern w:val="0"/>
      <w:sz w:val="28"/>
      <w:szCs w:val="28"/>
    </w:rPr>
  </w:style>
  <w:style w:type="character" w:customStyle="1" w:styleId="bjh-p">
    <w:name w:val="bjh-p"/>
    <w:basedOn w:val="a0"/>
    <w:qFormat/>
    <w:rsid w:val="007A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王晨</dc:creator>
  <cp:lastModifiedBy>zhangyuxin59</cp:lastModifiedBy>
  <cp:revision>2</cp:revision>
  <dcterms:created xsi:type="dcterms:W3CDTF">2021-09-08T01:58:00Z</dcterms:created>
  <dcterms:modified xsi:type="dcterms:W3CDTF">2021-09-08T01:58:00Z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1E9FEEB4D3C041679B24623AA9FFD6A3</vt:lpwstr>
  </property>
</Properties>
</file>