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acb2619336f64c83"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7375F" w14:textId="214D2AEB" w:rsidR="0079477B" w:rsidRPr="00FC1003" w:rsidRDefault="0079477B" w:rsidP="00FC1003">
      <w:pPr>
        <w:spacing w:line="360" w:lineRule="auto"/>
        <w:ind w:firstLineChars="200" w:firstLine="420"/>
        <w:rPr>
          <w:rFonts w:ascii="微软雅黑" w:eastAsia="微软雅黑" w:hAnsi="微软雅黑"/>
          <w:szCs w:val="21"/>
        </w:rPr>
      </w:pPr>
    </w:p>
    <w:p w14:paraId="7BFCF4E6" w14:textId="591A5C0A" w:rsidR="000F428B" w:rsidRPr="00FC1003" w:rsidRDefault="004835E8" w:rsidP="00FC1003">
      <w:pPr>
        <w:spacing w:line="360" w:lineRule="auto"/>
        <w:ind w:firstLineChars="200" w:firstLine="420"/>
        <w:rPr>
          <w:rFonts w:ascii="微软雅黑" w:eastAsia="微软雅黑" w:hAnsi="微软雅黑"/>
          <w:szCs w:val="21"/>
        </w:rPr>
      </w:pPr>
      <w:r w:rsidRPr="00FC1003">
        <w:rPr>
          <w:rFonts w:ascii="微软雅黑" w:eastAsia="微软雅黑" w:hAnsi="微软雅黑"/>
          <w:szCs w:val="21"/>
        </w:rPr>
        <w:t>2021</w:t>
      </w:r>
      <w:r w:rsidR="00D25C9A" w:rsidRPr="00FC1003">
        <w:rPr>
          <w:rFonts w:ascii="微软雅黑" w:eastAsia="微软雅黑" w:hAnsi="微软雅黑"/>
          <w:szCs w:val="21"/>
        </w:rPr>
        <w:t>世界人工智能大会的</w:t>
      </w:r>
      <w:r w:rsidR="00D25C9A" w:rsidRPr="00FC1003">
        <w:rPr>
          <w:rFonts w:ascii="微软雅黑" w:eastAsia="微软雅黑" w:hAnsi="微软雅黑" w:hint="eastAsia"/>
          <w:szCs w:val="21"/>
        </w:rPr>
        <w:t>主题</w:t>
      </w:r>
      <w:r w:rsidRPr="00FC1003">
        <w:rPr>
          <w:rFonts w:ascii="微软雅黑" w:eastAsia="微软雅黑" w:hAnsi="微软雅黑"/>
          <w:szCs w:val="21"/>
        </w:rPr>
        <w:t>论坛</w:t>
      </w:r>
      <w:r w:rsidR="00D25C9A" w:rsidRPr="00FC1003">
        <w:rPr>
          <w:rFonts w:ascii="微软雅黑" w:eastAsia="微软雅黑" w:hAnsi="微软雅黑" w:hint="eastAsia"/>
          <w:szCs w:val="21"/>
        </w:rPr>
        <w:t>之一</w:t>
      </w:r>
      <w:r w:rsidRPr="00FC1003">
        <w:rPr>
          <w:rFonts w:ascii="微软雅黑" w:eastAsia="微软雅黑" w:hAnsi="微软雅黑" w:hint="eastAsia"/>
          <w:szCs w:val="21"/>
        </w:rPr>
        <w:t>，</w:t>
      </w:r>
      <w:r w:rsidR="00E7282C" w:rsidRPr="00FC1003">
        <w:rPr>
          <w:rFonts w:ascii="微软雅黑" w:eastAsia="微软雅黑" w:hAnsi="微软雅黑" w:hint="eastAsia"/>
          <w:szCs w:val="21"/>
        </w:rPr>
        <w:t>由世界人工智能大会组委会办公室主办，中国信息通信研究院（以下简称“中国信通院”）</w:t>
      </w:r>
      <w:r w:rsidR="000F428B" w:rsidRPr="00FC1003">
        <w:rPr>
          <w:rFonts w:ascii="微软雅黑" w:eastAsia="微软雅黑" w:hAnsi="微软雅黑" w:hint="eastAsia"/>
          <w:szCs w:val="21"/>
        </w:rPr>
        <w:t>与</w:t>
      </w:r>
      <w:r w:rsidR="00E7282C" w:rsidRPr="00FC1003">
        <w:rPr>
          <w:rFonts w:ascii="微软雅黑" w:eastAsia="微软雅黑" w:hAnsi="微软雅黑" w:hint="eastAsia"/>
          <w:szCs w:val="21"/>
        </w:rPr>
        <w:t>京东探索研究院</w:t>
      </w:r>
      <w:r w:rsidR="00DE30AF" w:rsidRPr="00FC1003">
        <w:rPr>
          <w:rFonts w:ascii="微软雅黑" w:eastAsia="微软雅黑" w:hAnsi="微软雅黑" w:hint="eastAsia"/>
          <w:szCs w:val="21"/>
        </w:rPr>
        <w:t>联合</w:t>
      </w:r>
      <w:r w:rsidR="00E7282C" w:rsidRPr="00FC1003">
        <w:rPr>
          <w:rFonts w:ascii="微软雅黑" w:eastAsia="微软雅黑" w:hAnsi="微软雅黑" w:hint="eastAsia"/>
          <w:szCs w:val="21"/>
        </w:rPr>
        <w:t>承办的</w:t>
      </w:r>
      <w:r w:rsidR="00E7282C" w:rsidRPr="00FC1003">
        <w:rPr>
          <w:rFonts w:ascii="微软雅黑" w:eastAsia="微软雅黑" w:hAnsi="微软雅黑"/>
          <w:szCs w:val="21"/>
        </w:rPr>
        <w:t>2021世界人工智能大会-可信AI论坛（以下简称“可信AI论坛”）</w:t>
      </w:r>
      <w:r w:rsidRPr="00FC1003">
        <w:rPr>
          <w:rFonts w:ascii="微软雅黑" w:eastAsia="微软雅黑" w:hAnsi="微软雅黑" w:hint="eastAsia"/>
          <w:szCs w:val="21"/>
        </w:rPr>
        <w:t>于2</w:t>
      </w:r>
      <w:r w:rsidRPr="00FC1003">
        <w:rPr>
          <w:rFonts w:ascii="微软雅黑" w:eastAsia="微软雅黑" w:hAnsi="微软雅黑"/>
          <w:szCs w:val="21"/>
        </w:rPr>
        <w:t>021</w:t>
      </w:r>
      <w:r w:rsidRPr="00FC1003">
        <w:rPr>
          <w:rFonts w:ascii="微软雅黑" w:eastAsia="微软雅黑" w:hAnsi="微软雅黑" w:hint="eastAsia"/>
          <w:szCs w:val="21"/>
        </w:rPr>
        <w:t>年7月9日</w:t>
      </w:r>
      <w:r w:rsidR="00E7282C" w:rsidRPr="00FC1003">
        <w:rPr>
          <w:rFonts w:ascii="微软雅黑" w:eastAsia="微软雅黑" w:hAnsi="微软雅黑" w:hint="eastAsia"/>
          <w:szCs w:val="21"/>
        </w:rPr>
        <w:t>在</w:t>
      </w:r>
      <w:r w:rsidR="00E7282C" w:rsidRPr="00FC1003">
        <w:rPr>
          <w:rFonts w:ascii="微软雅黑" w:eastAsia="微软雅黑" w:hAnsi="微软雅黑"/>
          <w:szCs w:val="21"/>
        </w:rPr>
        <w:t>上海浦东世博中心金厅召开</w:t>
      </w:r>
      <w:r w:rsidR="00E7282C" w:rsidRPr="00FC1003">
        <w:rPr>
          <w:rFonts w:ascii="微软雅黑" w:eastAsia="微软雅黑" w:hAnsi="微软雅黑" w:hint="eastAsia"/>
          <w:szCs w:val="21"/>
        </w:rPr>
        <w:t>。</w:t>
      </w:r>
    </w:p>
    <w:p w14:paraId="00F981CD" w14:textId="141F4AA2" w:rsidR="0045633A" w:rsidRPr="00FC1003" w:rsidRDefault="00405C84" w:rsidP="00FC1003">
      <w:pPr>
        <w:spacing w:line="360" w:lineRule="auto"/>
        <w:ind w:firstLineChars="200" w:firstLine="420"/>
        <w:rPr>
          <w:rFonts w:ascii="微软雅黑" w:eastAsia="微软雅黑" w:hAnsi="微软雅黑"/>
          <w:szCs w:val="21"/>
        </w:rPr>
      </w:pPr>
      <w:r w:rsidRPr="00FC1003">
        <w:rPr>
          <w:rFonts w:ascii="微软雅黑" w:eastAsia="微软雅黑" w:hAnsi="微软雅黑" w:hint="eastAsia"/>
          <w:szCs w:val="21"/>
        </w:rPr>
        <w:t>论坛</w:t>
      </w:r>
      <w:r w:rsidR="00D25C9A" w:rsidRPr="00FC1003">
        <w:rPr>
          <w:rFonts w:ascii="微软雅黑" w:eastAsia="微软雅黑" w:hAnsi="微软雅黑" w:hint="eastAsia"/>
          <w:szCs w:val="21"/>
        </w:rPr>
        <w:t>现场</w:t>
      </w:r>
      <w:r w:rsidRPr="00FC1003">
        <w:rPr>
          <w:rFonts w:ascii="微软雅黑" w:eastAsia="微软雅黑" w:hAnsi="微软雅黑" w:hint="eastAsia"/>
          <w:szCs w:val="21"/>
        </w:rPr>
        <w:t>，</w:t>
      </w:r>
      <w:r w:rsidRPr="00FC1003">
        <w:rPr>
          <w:rFonts w:ascii="微软雅黑" w:eastAsia="微软雅黑" w:hAnsi="微软雅黑"/>
          <w:szCs w:val="21"/>
        </w:rPr>
        <w:t>澳大利亚科学院院士、京东探索研究院院长陶大程</w:t>
      </w:r>
      <w:r w:rsidR="00704DEC" w:rsidRPr="00FC1003">
        <w:rPr>
          <w:rFonts w:ascii="微软雅黑" w:eastAsia="微软雅黑" w:hAnsi="微软雅黑" w:hint="eastAsia"/>
          <w:szCs w:val="21"/>
        </w:rPr>
        <w:t>博士</w:t>
      </w:r>
      <w:r w:rsidRPr="00FC1003">
        <w:rPr>
          <w:rFonts w:ascii="微软雅黑" w:eastAsia="微软雅黑" w:hAnsi="微软雅黑" w:hint="eastAsia"/>
          <w:szCs w:val="21"/>
        </w:rPr>
        <w:t>发表了题为《可信人工智能的前世今生》的主题演讲，</w:t>
      </w:r>
      <w:r w:rsidR="00A94FBD" w:rsidRPr="00FC1003">
        <w:rPr>
          <w:rFonts w:ascii="微软雅黑" w:eastAsia="微软雅黑" w:hAnsi="微软雅黑" w:hint="eastAsia"/>
          <w:szCs w:val="21"/>
        </w:rPr>
        <w:t>结合刚刚发布的国内首本《可信人工智能白皮书》</w:t>
      </w:r>
      <w:r w:rsidR="00D25C9A" w:rsidRPr="00FC1003">
        <w:rPr>
          <w:rFonts w:ascii="微软雅黑" w:eastAsia="微软雅黑" w:hAnsi="微软雅黑" w:hint="eastAsia"/>
          <w:szCs w:val="21"/>
        </w:rPr>
        <w:t>，全面地</w:t>
      </w:r>
      <w:r w:rsidR="00DB0FB0" w:rsidRPr="00FC1003">
        <w:rPr>
          <w:rFonts w:ascii="微软雅黑" w:eastAsia="微软雅黑" w:hAnsi="微软雅黑" w:hint="eastAsia"/>
          <w:szCs w:val="21"/>
        </w:rPr>
        <w:t>回顾</w:t>
      </w:r>
      <w:r w:rsidR="00D25C9A" w:rsidRPr="00FC1003">
        <w:rPr>
          <w:rFonts w:ascii="微软雅黑" w:eastAsia="微软雅黑" w:hAnsi="微软雅黑" w:hint="eastAsia"/>
          <w:szCs w:val="21"/>
        </w:rPr>
        <w:t>了</w:t>
      </w:r>
      <w:r w:rsidRPr="00FC1003">
        <w:rPr>
          <w:rFonts w:ascii="微软雅黑" w:eastAsia="微软雅黑" w:hAnsi="微软雅黑"/>
          <w:szCs w:val="21"/>
        </w:rPr>
        <w:t>可信人工智能</w:t>
      </w:r>
      <w:r w:rsidRPr="00FC1003">
        <w:rPr>
          <w:rFonts w:ascii="微软雅黑" w:eastAsia="微软雅黑" w:hAnsi="微软雅黑" w:hint="eastAsia"/>
          <w:szCs w:val="21"/>
        </w:rPr>
        <w:t>的</w:t>
      </w:r>
      <w:r w:rsidR="0084753F" w:rsidRPr="00FC1003">
        <w:rPr>
          <w:rFonts w:ascii="微软雅黑" w:eastAsia="微软雅黑" w:hAnsi="微软雅黑" w:hint="eastAsia"/>
          <w:szCs w:val="21"/>
        </w:rPr>
        <w:t>提出</w:t>
      </w:r>
      <w:r w:rsidRPr="00FC1003">
        <w:rPr>
          <w:rFonts w:ascii="微软雅黑" w:eastAsia="微软雅黑" w:hAnsi="微软雅黑" w:hint="eastAsia"/>
          <w:szCs w:val="21"/>
        </w:rPr>
        <w:t>背景和</w:t>
      </w:r>
      <w:r w:rsidR="00E33C6D" w:rsidRPr="00FC1003">
        <w:rPr>
          <w:rFonts w:ascii="微软雅黑" w:eastAsia="微软雅黑" w:hAnsi="微软雅黑" w:hint="eastAsia"/>
          <w:szCs w:val="21"/>
        </w:rPr>
        <w:t>发展</w:t>
      </w:r>
      <w:r w:rsidRPr="00FC1003">
        <w:rPr>
          <w:rFonts w:ascii="微软雅黑" w:eastAsia="微软雅黑" w:hAnsi="微软雅黑"/>
          <w:szCs w:val="21"/>
        </w:rPr>
        <w:t>历程</w:t>
      </w:r>
      <w:r w:rsidR="00262444" w:rsidRPr="00FC1003">
        <w:rPr>
          <w:rFonts w:ascii="微软雅黑" w:eastAsia="微软雅黑" w:hAnsi="微软雅黑" w:hint="eastAsia"/>
          <w:szCs w:val="21"/>
        </w:rPr>
        <w:t>，</w:t>
      </w:r>
      <w:r w:rsidR="00DB0FB0" w:rsidRPr="00FC1003">
        <w:rPr>
          <w:rFonts w:ascii="微软雅黑" w:eastAsia="微软雅黑" w:hAnsi="微软雅黑" w:hint="eastAsia"/>
          <w:szCs w:val="21"/>
        </w:rPr>
        <w:t>就实现可信AI的实现路径</w:t>
      </w:r>
      <w:r w:rsidR="00262444" w:rsidRPr="00FC1003">
        <w:rPr>
          <w:rFonts w:ascii="微软雅黑" w:eastAsia="微软雅黑" w:hAnsi="微软雅黑" w:hint="eastAsia"/>
          <w:szCs w:val="21"/>
        </w:rPr>
        <w:t>及</w:t>
      </w:r>
      <w:r w:rsidR="00DB0FB0" w:rsidRPr="00FC1003">
        <w:rPr>
          <w:rFonts w:ascii="微软雅黑" w:eastAsia="微软雅黑" w:hAnsi="微软雅黑" w:hint="eastAsia"/>
          <w:szCs w:val="21"/>
        </w:rPr>
        <w:t>稳定性、可解释性、隐私保护、公平性等研究方面进行了系统阐述，</w:t>
      </w:r>
      <w:r w:rsidR="00D25C9A" w:rsidRPr="00FC1003">
        <w:rPr>
          <w:rFonts w:ascii="微软雅黑" w:eastAsia="微软雅黑" w:hAnsi="微软雅黑" w:hint="eastAsia"/>
          <w:szCs w:val="21"/>
        </w:rPr>
        <w:t>就</w:t>
      </w:r>
      <w:r w:rsidRPr="00FC1003">
        <w:rPr>
          <w:rFonts w:ascii="微软雅黑" w:eastAsia="微软雅黑" w:hAnsi="微软雅黑" w:hint="eastAsia"/>
          <w:szCs w:val="21"/>
        </w:rPr>
        <w:t>新一代人工智能的未来</w:t>
      </w:r>
      <w:r w:rsidR="0084753F" w:rsidRPr="00FC1003">
        <w:rPr>
          <w:rFonts w:ascii="微软雅黑" w:eastAsia="微软雅黑" w:hAnsi="微软雅黑" w:hint="eastAsia"/>
          <w:szCs w:val="21"/>
        </w:rPr>
        <w:t>进行展望</w:t>
      </w:r>
      <w:r w:rsidR="00DB0FB0" w:rsidRPr="00FC1003">
        <w:rPr>
          <w:rFonts w:ascii="微软雅黑" w:eastAsia="微软雅黑" w:hAnsi="微软雅黑" w:hint="eastAsia"/>
          <w:szCs w:val="21"/>
        </w:rPr>
        <w:t>。</w:t>
      </w:r>
    </w:p>
    <w:p w14:paraId="6CF12D22" w14:textId="03481FD3" w:rsidR="00611FFB" w:rsidRPr="00FC1003" w:rsidRDefault="0045633A" w:rsidP="00FC1003">
      <w:pPr>
        <w:spacing w:line="360" w:lineRule="auto"/>
        <w:ind w:firstLineChars="200" w:firstLine="420"/>
        <w:jc w:val="center"/>
        <w:rPr>
          <w:rFonts w:ascii="微软雅黑" w:eastAsia="微软雅黑" w:hAnsi="微软雅黑"/>
          <w:szCs w:val="21"/>
          <w:highlight w:val="yellow"/>
        </w:rPr>
      </w:pPr>
      <w:r w:rsidRPr="00FC1003">
        <w:rPr>
          <w:rFonts w:ascii="微软雅黑" w:eastAsia="微软雅黑" w:hAnsi="微软雅黑"/>
          <w:noProof/>
          <w:szCs w:val="21"/>
        </w:rPr>
        <w:drawing>
          <wp:inline distT="0" distB="0" distL="0" distR="0" wp14:anchorId="73CCBF14" wp14:editId="2C097E89">
            <wp:extent cx="3527660" cy="2256984"/>
            <wp:effectExtent l="0" t="0" r="0" b="0"/>
            <wp:docPr id="2" name="图片 2" descr="C:\Users\libo335\Downloads\167284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bo335\Downloads\16728494.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016"/>
                    <a:stretch/>
                  </pic:blipFill>
                  <pic:spPr bwMode="auto">
                    <a:xfrm>
                      <a:off x="0" y="0"/>
                      <a:ext cx="3538130" cy="2263683"/>
                    </a:xfrm>
                    <a:prstGeom prst="rect">
                      <a:avLst/>
                    </a:prstGeom>
                    <a:noFill/>
                    <a:ln>
                      <a:noFill/>
                    </a:ln>
                    <a:extLst>
                      <a:ext uri="{53640926-AAD7-44D8-BBD7-CCE9431645EC}">
                        <a14:shadowObscured xmlns:a14="http://schemas.microsoft.com/office/drawing/2010/main"/>
                      </a:ext>
                    </a:extLst>
                  </pic:spPr>
                </pic:pic>
              </a:graphicData>
            </a:graphic>
          </wp:inline>
        </w:drawing>
      </w:r>
    </w:p>
    <w:p w14:paraId="01D7E084" w14:textId="608F6EF1" w:rsidR="004541B4" w:rsidRPr="00FC1003" w:rsidRDefault="00FC1003" w:rsidP="00FC1003">
      <w:pPr>
        <w:spacing w:line="360" w:lineRule="auto"/>
        <w:ind w:firstLineChars="200" w:firstLine="400"/>
        <w:jc w:val="center"/>
        <w:rPr>
          <w:rFonts w:ascii="华文楷体" w:eastAsia="华文楷体" w:hAnsi="华文楷体"/>
          <w:sz w:val="20"/>
          <w:szCs w:val="20"/>
        </w:rPr>
      </w:pPr>
      <w:r w:rsidRPr="00FC1003">
        <w:rPr>
          <w:rFonts w:ascii="华文楷体" w:eastAsia="华文楷体" w:hAnsi="华文楷体"/>
          <w:sz w:val="20"/>
          <w:szCs w:val="20"/>
        </w:rPr>
        <w:t>Marked</w:t>
      </w:r>
      <w:r w:rsidRPr="00FC1003">
        <w:rPr>
          <w:rFonts w:ascii="华文楷体" w:eastAsia="华文楷体" w:hAnsi="华文楷体" w:hint="eastAsia"/>
          <w:sz w:val="20"/>
          <w:szCs w:val="20"/>
        </w:rPr>
        <w:t>：</w:t>
      </w:r>
      <w:r w:rsidR="00611FFB" w:rsidRPr="00FC1003">
        <w:rPr>
          <w:rFonts w:ascii="华文楷体" w:eastAsia="华文楷体" w:hAnsi="华文楷体" w:hint="eastAsia"/>
          <w:sz w:val="20"/>
          <w:szCs w:val="20"/>
        </w:rPr>
        <w:t>陶大程博士</w:t>
      </w:r>
      <w:r w:rsidR="002B095C" w:rsidRPr="00FC1003">
        <w:rPr>
          <w:rFonts w:ascii="华文楷体" w:eastAsia="华文楷体" w:hAnsi="华文楷体" w:hint="eastAsia"/>
          <w:sz w:val="20"/>
          <w:szCs w:val="20"/>
        </w:rPr>
        <w:t>现场</w:t>
      </w:r>
      <w:r w:rsidR="0045633A" w:rsidRPr="00FC1003">
        <w:rPr>
          <w:rFonts w:ascii="华文楷体" w:eastAsia="华文楷体" w:hAnsi="华文楷体" w:hint="eastAsia"/>
          <w:sz w:val="20"/>
          <w:szCs w:val="20"/>
        </w:rPr>
        <w:t>发表</w:t>
      </w:r>
      <w:r w:rsidR="00611FFB" w:rsidRPr="00FC1003">
        <w:rPr>
          <w:rFonts w:ascii="华文楷体" w:eastAsia="华文楷体" w:hAnsi="华文楷体" w:hint="eastAsia"/>
          <w:sz w:val="20"/>
          <w:szCs w:val="20"/>
        </w:rPr>
        <w:t>演讲</w:t>
      </w:r>
    </w:p>
    <w:p w14:paraId="23AAD6C4" w14:textId="47D65EFF" w:rsidR="0061527F" w:rsidRPr="00FC1003" w:rsidRDefault="0061527F" w:rsidP="00FC1003">
      <w:pPr>
        <w:widowControl/>
        <w:spacing w:line="360" w:lineRule="auto"/>
        <w:ind w:firstLineChars="200" w:firstLine="420"/>
        <w:rPr>
          <w:rFonts w:ascii="微软雅黑" w:eastAsia="微软雅黑" w:hAnsi="微软雅黑"/>
          <w:szCs w:val="21"/>
        </w:rPr>
      </w:pPr>
      <w:r w:rsidRPr="00FC1003">
        <w:rPr>
          <w:rFonts w:ascii="微软雅黑" w:eastAsia="微软雅黑" w:hAnsi="微软雅黑" w:hint="eastAsia"/>
          <w:szCs w:val="21"/>
        </w:rPr>
        <w:t>随着时代的快速发展，人工智能技术在许多垂直领域已有广泛应用，如图像识别、内容推送、自动翻译等。然而，人工智能技术在应用的同时，也面临许多可信挑战。例如，特殊构造的图案会误导商品识别系统产生识别错误；缺乏可解释性的自动驾驶系统可能引发人们对人工智能技术的信任危机。</w:t>
      </w:r>
    </w:p>
    <w:p w14:paraId="38C31713" w14:textId="153EC21F" w:rsidR="00262444" w:rsidRPr="00FC1003" w:rsidRDefault="008275FA" w:rsidP="00FC1003">
      <w:pPr>
        <w:spacing w:line="360" w:lineRule="auto"/>
        <w:ind w:firstLineChars="200" w:firstLine="420"/>
        <w:rPr>
          <w:rFonts w:ascii="微软雅黑" w:eastAsia="微软雅黑" w:hAnsi="微软雅黑"/>
          <w:szCs w:val="21"/>
        </w:rPr>
      </w:pPr>
      <w:r w:rsidRPr="00FC1003">
        <w:rPr>
          <w:rFonts w:ascii="微软雅黑" w:eastAsia="微软雅黑" w:hAnsi="微软雅黑"/>
          <w:szCs w:val="21"/>
        </w:rPr>
        <w:t>据陶大程</w:t>
      </w:r>
      <w:r w:rsidR="00704DEC" w:rsidRPr="00FC1003">
        <w:rPr>
          <w:rFonts w:ascii="微软雅黑" w:eastAsia="微软雅黑" w:hAnsi="微软雅黑" w:hint="eastAsia"/>
          <w:szCs w:val="21"/>
        </w:rPr>
        <w:t>博士</w:t>
      </w:r>
      <w:r w:rsidRPr="00FC1003">
        <w:rPr>
          <w:rFonts w:ascii="微软雅黑" w:eastAsia="微软雅黑" w:hAnsi="微软雅黑"/>
          <w:szCs w:val="21"/>
        </w:rPr>
        <w:t>介绍</w:t>
      </w:r>
      <w:r w:rsidRPr="00FC1003">
        <w:rPr>
          <w:rFonts w:ascii="微软雅黑" w:eastAsia="微软雅黑" w:hAnsi="微软雅黑" w:hint="eastAsia"/>
          <w:szCs w:val="21"/>
        </w:rPr>
        <w:t>，</w:t>
      </w:r>
      <w:r w:rsidR="0084753F" w:rsidRPr="00FC1003">
        <w:rPr>
          <w:rFonts w:ascii="微软雅黑" w:eastAsia="微软雅黑" w:hAnsi="微软雅黑" w:hint="eastAsia"/>
          <w:szCs w:val="21"/>
        </w:rPr>
        <w:t>人工智能技术的可信挑战引起了国内外的广泛关注。国际上，欧盟、美国、澳大利亚等世界主要国家及组织纷纷提出各自的可信人工智能治理计划。在国内，国</w:t>
      </w:r>
      <w:r w:rsidR="0084753F" w:rsidRPr="00FC1003">
        <w:rPr>
          <w:rFonts w:ascii="微软雅黑" w:eastAsia="微软雅黑" w:hAnsi="微软雅黑" w:hint="eastAsia"/>
          <w:szCs w:val="21"/>
        </w:rPr>
        <w:lastRenderedPageBreak/>
        <w:t>家新一代人工智能治理专业委员会于2019年6月发布《新一代人工智能治理原则——发展负责任的人工智能》，提出了人工智能治理的框架和行动指南；腾讯、京东等科技公司也在如何应对可信挑战方面</w:t>
      </w:r>
      <w:r w:rsidR="00262444" w:rsidRPr="00FC1003">
        <w:rPr>
          <w:rFonts w:ascii="微软雅黑" w:eastAsia="微软雅黑" w:hAnsi="微软雅黑" w:hint="eastAsia"/>
          <w:szCs w:val="21"/>
        </w:rPr>
        <w:t>展开了</w:t>
      </w:r>
      <w:r w:rsidR="0061527F" w:rsidRPr="00FC1003">
        <w:rPr>
          <w:rFonts w:ascii="微软雅黑" w:eastAsia="微软雅黑" w:hAnsi="微软雅黑" w:hint="eastAsia"/>
          <w:szCs w:val="21"/>
        </w:rPr>
        <w:t>诸</w:t>
      </w:r>
      <w:r w:rsidR="00262444" w:rsidRPr="00FC1003">
        <w:rPr>
          <w:rFonts w:ascii="微软雅黑" w:eastAsia="微软雅黑" w:hAnsi="微软雅黑" w:hint="eastAsia"/>
          <w:szCs w:val="21"/>
        </w:rPr>
        <w:t>多探索。</w:t>
      </w:r>
    </w:p>
    <w:p w14:paraId="32A1B310" w14:textId="28505AFC" w:rsidR="009722A1" w:rsidRPr="00FC1003" w:rsidRDefault="0061527F" w:rsidP="00FC1003">
      <w:pPr>
        <w:spacing w:line="360" w:lineRule="auto"/>
        <w:ind w:firstLineChars="200" w:firstLine="420"/>
        <w:rPr>
          <w:rFonts w:ascii="微软雅黑" w:eastAsia="微软雅黑" w:hAnsi="微软雅黑"/>
          <w:szCs w:val="21"/>
        </w:rPr>
      </w:pPr>
      <w:r w:rsidRPr="00FC1003">
        <w:rPr>
          <w:rFonts w:ascii="微软雅黑" w:eastAsia="微软雅黑" w:hAnsi="微软雅黑" w:hint="eastAsia"/>
          <w:szCs w:val="21"/>
        </w:rPr>
        <w:t>例如，</w:t>
      </w:r>
      <w:r w:rsidR="00262444" w:rsidRPr="00FC1003">
        <w:rPr>
          <w:rFonts w:ascii="微软雅黑" w:eastAsia="微软雅黑" w:hAnsi="微软雅黑" w:hint="eastAsia"/>
          <w:szCs w:val="21"/>
        </w:rPr>
        <w:t>2</w:t>
      </w:r>
      <w:r w:rsidR="00262444" w:rsidRPr="00FC1003">
        <w:rPr>
          <w:rFonts w:ascii="微软雅黑" w:eastAsia="微软雅黑" w:hAnsi="微软雅黑"/>
          <w:szCs w:val="21"/>
        </w:rPr>
        <w:t>019</w:t>
      </w:r>
      <w:r w:rsidR="00262444" w:rsidRPr="00FC1003">
        <w:rPr>
          <w:rFonts w:ascii="微软雅黑" w:eastAsia="微软雅黑" w:hAnsi="微软雅黑" w:hint="eastAsia"/>
          <w:szCs w:val="21"/>
        </w:rPr>
        <w:t>年1</w:t>
      </w:r>
      <w:r w:rsidR="00262444" w:rsidRPr="00FC1003">
        <w:rPr>
          <w:rFonts w:ascii="微软雅黑" w:eastAsia="微软雅黑" w:hAnsi="微软雅黑"/>
          <w:szCs w:val="21"/>
        </w:rPr>
        <w:t>0</w:t>
      </w:r>
      <w:r w:rsidR="00262444" w:rsidRPr="00FC1003">
        <w:rPr>
          <w:rFonts w:ascii="微软雅黑" w:eastAsia="微软雅黑" w:hAnsi="微软雅黑" w:hint="eastAsia"/>
          <w:szCs w:val="21"/>
        </w:rPr>
        <w:t>月</w:t>
      </w:r>
      <w:r w:rsidR="00CA0C8A" w:rsidRPr="00FC1003">
        <w:rPr>
          <w:rFonts w:ascii="微软雅黑" w:eastAsia="微软雅黑" w:hAnsi="微软雅黑" w:hint="eastAsia"/>
          <w:szCs w:val="21"/>
        </w:rPr>
        <w:t>，</w:t>
      </w:r>
      <w:r w:rsidR="00262444" w:rsidRPr="00FC1003">
        <w:rPr>
          <w:rFonts w:ascii="微软雅黑" w:eastAsia="微软雅黑" w:hAnsi="微软雅黑" w:hint="eastAsia"/>
          <w:szCs w:val="21"/>
        </w:rPr>
        <w:t>京东集团就首次在乌镇世界互联网大会上提出京东</w:t>
      </w:r>
      <w:proofErr w:type="gramStart"/>
      <w:r w:rsidR="00262444" w:rsidRPr="00FC1003">
        <w:rPr>
          <w:rFonts w:ascii="微软雅黑" w:eastAsia="微软雅黑" w:hAnsi="微软雅黑" w:hint="eastAsia"/>
          <w:szCs w:val="21"/>
        </w:rPr>
        <w:t>践行</w:t>
      </w:r>
      <w:proofErr w:type="gramEnd"/>
      <w:r w:rsidRPr="00FC1003">
        <w:rPr>
          <w:rFonts w:ascii="微软雅黑" w:eastAsia="微软雅黑" w:hAnsi="微软雅黑" w:hint="eastAsia"/>
          <w:szCs w:val="21"/>
        </w:rPr>
        <w:t>“可信赖</w:t>
      </w:r>
      <w:r w:rsidRPr="00FC1003">
        <w:rPr>
          <w:rFonts w:ascii="微软雅黑" w:eastAsia="微软雅黑" w:hAnsi="微软雅黑"/>
          <w:szCs w:val="21"/>
        </w:rPr>
        <w:t>AI</w:t>
      </w:r>
      <w:r w:rsidRPr="00FC1003">
        <w:rPr>
          <w:rFonts w:ascii="微软雅黑" w:eastAsia="微软雅黑" w:hAnsi="微软雅黑" w:hint="eastAsia"/>
          <w:szCs w:val="21"/>
        </w:rPr>
        <w:t>”</w:t>
      </w:r>
      <w:r w:rsidR="00262444" w:rsidRPr="00FC1003">
        <w:rPr>
          <w:rFonts w:ascii="微软雅黑" w:eastAsia="微软雅黑" w:hAnsi="微软雅黑"/>
          <w:szCs w:val="21"/>
        </w:rPr>
        <w:t>的六大维度</w:t>
      </w:r>
      <w:r w:rsidR="00CA0C8A" w:rsidRPr="00FC1003">
        <w:rPr>
          <w:rFonts w:ascii="微软雅黑" w:eastAsia="微软雅黑" w:hAnsi="微软雅黑" w:hint="eastAsia"/>
          <w:szCs w:val="21"/>
        </w:rPr>
        <w:t>；</w:t>
      </w:r>
      <w:r w:rsidR="00262444" w:rsidRPr="00FC1003">
        <w:rPr>
          <w:rFonts w:ascii="微软雅黑" w:eastAsia="微软雅黑" w:hAnsi="微软雅黑" w:hint="eastAsia"/>
          <w:szCs w:val="21"/>
        </w:rPr>
        <w:t>京东探索研究院在2</w:t>
      </w:r>
      <w:r w:rsidR="00262444" w:rsidRPr="00FC1003">
        <w:rPr>
          <w:rFonts w:ascii="微软雅黑" w:eastAsia="微软雅黑" w:hAnsi="微软雅黑"/>
          <w:szCs w:val="21"/>
        </w:rPr>
        <w:t>021</w:t>
      </w:r>
      <w:r w:rsidR="00262444" w:rsidRPr="00FC1003">
        <w:rPr>
          <w:rFonts w:ascii="微软雅黑" w:eastAsia="微软雅黑" w:hAnsi="微软雅黑" w:hint="eastAsia"/>
          <w:szCs w:val="21"/>
        </w:rPr>
        <w:t>年4月</w:t>
      </w:r>
      <w:r w:rsidR="00FE7262" w:rsidRPr="00FC1003">
        <w:rPr>
          <w:rFonts w:ascii="微软雅黑" w:eastAsia="微软雅黑" w:hAnsi="微软雅黑" w:hint="eastAsia"/>
          <w:szCs w:val="21"/>
        </w:rPr>
        <w:t>已将“可信人工智能”</w:t>
      </w:r>
      <w:r w:rsidR="00262444" w:rsidRPr="00FC1003">
        <w:rPr>
          <w:rFonts w:ascii="微软雅黑" w:eastAsia="微软雅黑" w:hAnsi="微软雅黑" w:hint="eastAsia"/>
          <w:szCs w:val="21"/>
        </w:rPr>
        <w:t>正式列为主要研究方向之一</w:t>
      </w:r>
      <w:r w:rsidR="00570EB5" w:rsidRPr="00FC1003">
        <w:rPr>
          <w:rFonts w:ascii="微软雅黑" w:eastAsia="微软雅黑" w:hAnsi="微软雅黑" w:hint="eastAsia"/>
          <w:szCs w:val="21"/>
        </w:rPr>
        <w:t>，</w:t>
      </w:r>
      <w:r w:rsidR="009722A1" w:rsidRPr="00FC1003">
        <w:rPr>
          <w:rFonts w:ascii="微软雅黑" w:eastAsia="微软雅黑" w:hAnsi="微软雅黑" w:hint="eastAsia"/>
          <w:szCs w:val="21"/>
        </w:rPr>
        <w:t>并联合</w:t>
      </w:r>
      <w:r w:rsidR="00CA0C8A" w:rsidRPr="00FC1003">
        <w:rPr>
          <w:rFonts w:ascii="微软雅黑" w:eastAsia="微软雅黑" w:hAnsi="微软雅黑" w:hint="eastAsia"/>
          <w:szCs w:val="21"/>
        </w:rPr>
        <w:t>中国</w:t>
      </w:r>
      <w:proofErr w:type="gramStart"/>
      <w:r w:rsidR="00CA0C8A" w:rsidRPr="00FC1003">
        <w:rPr>
          <w:rFonts w:ascii="微软雅黑" w:eastAsia="微软雅黑" w:hAnsi="微软雅黑" w:hint="eastAsia"/>
          <w:szCs w:val="21"/>
        </w:rPr>
        <w:t>信通院</w:t>
      </w:r>
      <w:r w:rsidR="009722A1" w:rsidRPr="00FC1003">
        <w:rPr>
          <w:rFonts w:ascii="微软雅黑" w:eastAsia="微软雅黑" w:hAnsi="微软雅黑" w:hint="eastAsia"/>
          <w:szCs w:val="21"/>
        </w:rPr>
        <w:t>完成</w:t>
      </w:r>
      <w:proofErr w:type="gramEnd"/>
      <w:r w:rsidR="009722A1" w:rsidRPr="00FC1003">
        <w:rPr>
          <w:rFonts w:ascii="微软雅黑" w:eastAsia="微软雅黑" w:hAnsi="微软雅黑" w:hint="eastAsia"/>
          <w:szCs w:val="21"/>
        </w:rPr>
        <w:t>撰写、发布</w:t>
      </w:r>
      <w:r w:rsidR="00570EB5" w:rsidRPr="00FC1003">
        <w:rPr>
          <w:rFonts w:ascii="微软雅黑" w:eastAsia="微软雅黑" w:hAnsi="微软雅黑" w:hint="eastAsia"/>
          <w:szCs w:val="21"/>
        </w:rPr>
        <w:t>国内首</w:t>
      </w:r>
      <w:r w:rsidRPr="00FC1003">
        <w:rPr>
          <w:rFonts w:ascii="微软雅黑" w:eastAsia="微软雅黑" w:hAnsi="微软雅黑" w:hint="eastAsia"/>
          <w:szCs w:val="21"/>
        </w:rPr>
        <w:t>本</w:t>
      </w:r>
      <w:r w:rsidR="00570EB5" w:rsidRPr="00FC1003">
        <w:rPr>
          <w:rFonts w:ascii="微软雅黑" w:eastAsia="微软雅黑" w:hAnsi="微软雅黑" w:hint="eastAsia"/>
          <w:szCs w:val="21"/>
        </w:rPr>
        <w:t>《可信人工智能白皮书》。</w:t>
      </w:r>
    </w:p>
    <w:p w14:paraId="4AA2C18C" w14:textId="6B10D982" w:rsidR="004541B4" w:rsidRPr="00FC1003" w:rsidRDefault="00262444" w:rsidP="00FC1003">
      <w:pPr>
        <w:spacing w:line="360" w:lineRule="auto"/>
        <w:ind w:firstLineChars="200" w:firstLine="420"/>
        <w:rPr>
          <w:rFonts w:ascii="微软雅黑" w:eastAsia="微软雅黑" w:hAnsi="微软雅黑"/>
          <w:szCs w:val="21"/>
        </w:rPr>
      </w:pPr>
      <w:r w:rsidRPr="00FC1003">
        <w:rPr>
          <w:rFonts w:ascii="微软雅黑" w:eastAsia="微软雅黑" w:hAnsi="微软雅黑" w:hint="eastAsia"/>
          <w:szCs w:val="21"/>
        </w:rPr>
        <w:t>陶大程</w:t>
      </w:r>
      <w:r w:rsidR="00704DEC" w:rsidRPr="00FC1003">
        <w:rPr>
          <w:rFonts w:ascii="微软雅黑" w:eastAsia="微软雅黑" w:hAnsi="微软雅黑" w:hint="eastAsia"/>
          <w:szCs w:val="21"/>
        </w:rPr>
        <w:t>博士</w:t>
      </w:r>
      <w:r w:rsidRPr="00FC1003">
        <w:rPr>
          <w:rFonts w:ascii="微软雅黑" w:eastAsia="微软雅黑" w:hAnsi="微软雅黑" w:hint="eastAsia"/>
          <w:szCs w:val="21"/>
        </w:rPr>
        <w:t>认为，</w:t>
      </w:r>
      <w:r w:rsidR="0084753F" w:rsidRPr="00FC1003">
        <w:rPr>
          <w:rFonts w:ascii="微软雅黑" w:eastAsia="微软雅黑" w:hAnsi="微软雅黑" w:hint="eastAsia"/>
          <w:szCs w:val="21"/>
        </w:rPr>
        <w:t>可信人工智能技术是帮助人工智能实现可信的基础。从技术角度来说，可信人工智能的研究可以归结为稳定性、可解释性、隐私保护及公平性四个方面</w:t>
      </w:r>
      <w:r w:rsidRPr="00FC1003">
        <w:rPr>
          <w:rFonts w:ascii="微软雅黑" w:eastAsia="微软雅黑" w:hAnsi="微软雅黑" w:hint="eastAsia"/>
          <w:szCs w:val="21"/>
        </w:rPr>
        <w:t>，</w:t>
      </w:r>
      <w:r w:rsidR="004541B4" w:rsidRPr="00FC1003">
        <w:rPr>
          <w:rFonts w:ascii="微软雅黑" w:eastAsia="微软雅黑" w:hAnsi="微软雅黑"/>
          <w:szCs w:val="21"/>
        </w:rPr>
        <w:t>从</w:t>
      </w:r>
      <w:r w:rsidR="004541B4" w:rsidRPr="00FC1003">
        <w:rPr>
          <w:rFonts w:ascii="微软雅黑" w:eastAsia="微软雅黑" w:hAnsi="微软雅黑" w:hint="eastAsia"/>
          <w:szCs w:val="21"/>
        </w:rPr>
        <w:t>以上四</w:t>
      </w:r>
      <w:r w:rsidR="004541B4" w:rsidRPr="00FC1003">
        <w:rPr>
          <w:rFonts w:ascii="微软雅黑" w:eastAsia="微软雅黑" w:hAnsi="微软雅黑"/>
          <w:szCs w:val="21"/>
        </w:rPr>
        <w:t>点</w:t>
      </w:r>
      <w:r w:rsidR="004541B4" w:rsidRPr="00FC1003">
        <w:rPr>
          <w:rFonts w:ascii="微软雅黑" w:eastAsia="微软雅黑" w:hAnsi="微软雅黑" w:hint="eastAsia"/>
          <w:szCs w:val="21"/>
        </w:rPr>
        <w:t>出发</w:t>
      </w:r>
      <w:r w:rsidR="004541B4" w:rsidRPr="00FC1003">
        <w:rPr>
          <w:rFonts w:ascii="微软雅黑" w:eastAsia="微软雅黑" w:hAnsi="微软雅黑"/>
          <w:szCs w:val="21"/>
        </w:rPr>
        <w:t>研究可信人工智能，首要任务是找到合适的方法来定量分析</w:t>
      </w:r>
      <w:r w:rsidR="004541B4" w:rsidRPr="00FC1003">
        <w:rPr>
          <w:rFonts w:ascii="微软雅黑" w:eastAsia="微软雅黑" w:hAnsi="微软雅黑" w:hint="eastAsia"/>
          <w:szCs w:val="21"/>
        </w:rPr>
        <w:t>、量化</w:t>
      </w:r>
      <w:r w:rsidR="004541B4" w:rsidRPr="00FC1003">
        <w:rPr>
          <w:rFonts w:ascii="微软雅黑" w:eastAsia="微软雅黑" w:hAnsi="微软雅黑"/>
          <w:szCs w:val="21"/>
        </w:rPr>
        <w:t>人工智能算法</w:t>
      </w:r>
      <w:r w:rsidR="004541B4" w:rsidRPr="00FC1003">
        <w:rPr>
          <w:rFonts w:ascii="微软雅黑" w:eastAsia="微软雅黑" w:hAnsi="微软雅黑" w:hint="eastAsia"/>
          <w:szCs w:val="21"/>
        </w:rPr>
        <w:t>、</w:t>
      </w:r>
      <w:r w:rsidR="004541B4" w:rsidRPr="00FC1003">
        <w:rPr>
          <w:rFonts w:ascii="微软雅黑" w:eastAsia="微软雅黑" w:hAnsi="微软雅黑"/>
          <w:szCs w:val="21"/>
        </w:rPr>
        <w:t>模型</w:t>
      </w:r>
      <w:r w:rsidR="004541B4" w:rsidRPr="00FC1003">
        <w:rPr>
          <w:rFonts w:ascii="微软雅黑" w:eastAsia="微软雅黑" w:hAnsi="微软雅黑" w:hint="eastAsia"/>
          <w:szCs w:val="21"/>
        </w:rPr>
        <w:t>和系统</w:t>
      </w:r>
      <w:r w:rsidR="004541B4" w:rsidRPr="00FC1003">
        <w:rPr>
          <w:rFonts w:ascii="微软雅黑" w:eastAsia="微软雅黑" w:hAnsi="微软雅黑"/>
          <w:szCs w:val="21"/>
        </w:rPr>
        <w:t>在稳定性</w:t>
      </w:r>
      <w:r w:rsidR="004541B4" w:rsidRPr="00FC1003">
        <w:rPr>
          <w:rFonts w:ascii="微软雅黑" w:eastAsia="微软雅黑" w:hAnsi="微软雅黑" w:hint="eastAsia"/>
          <w:szCs w:val="21"/>
        </w:rPr>
        <w:t>、可</w:t>
      </w:r>
      <w:r w:rsidR="004541B4" w:rsidRPr="00FC1003">
        <w:rPr>
          <w:rFonts w:ascii="微软雅黑" w:eastAsia="微软雅黑" w:hAnsi="微软雅黑"/>
          <w:szCs w:val="21"/>
        </w:rPr>
        <w:t>解释性</w:t>
      </w:r>
      <w:r w:rsidR="004541B4" w:rsidRPr="00FC1003">
        <w:rPr>
          <w:rFonts w:ascii="微软雅黑" w:eastAsia="微软雅黑" w:hAnsi="微软雅黑" w:hint="eastAsia"/>
          <w:szCs w:val="21"/>
        </w:rPr>
        <w:t>、</w:t>
      </w:r>
      <w:r w:rsidR="00704DEC" w:rsidRPr="00FC1003">
        <w:rPr>
          <w:rFonts w:ascii="微软雅黑" w:eastAsia="微软雅黑" w:hAnsi="微软雅黑"/>
          <w:szCs w:val="21"/>
        </w:rPr>
        <w:t>隐私保护及公平性方面的能力</w:t>
      </w:r>
      <w:r w:rsidR="00704DEC" w:rsidRPr="00FC1003">
        <w:rPr>
          <w:rFonts w:ascii="微软雅黑" w:eastAsia="微软雅黑" w:hAnsi="微软雅黑" w:hint="eastAsia"/>
          <w:szCs w:val="21"/>
        </w:rPr>
        <w:t>。</w:t>
      </w:r>
    </w:p>
    <w:p w14:paraId="00754845" w14:textId="05DE2B55" w:rsidR="0066693E" w:rsidRPr="00FC1003" w:rsidRDefault="0066693E" w:rsidP="00FC1003">
      <w:pPr>
        <w:spacing w:line="360" w:lineRule="auto"/>
        <w:ind w:firstLineChars="200" w:firstLine="420"/>
        <w:rPr>
          <w:rFonts w:ascii="微软雅黑" w:eastAsia="微软雅黑" w:hAnsi="微软雅黑"/>
          <w:szCs w:val="21"/>
        </w:rPr>
      </w:pPr>
      <w:r w:rsidRPr="00FC1003">
        <w:rPr>
          <w:rFonts w:ascii="微软雅黑" w:eastAsia="微软雅黑" w:hAnsi="微软雅黑" w:hint="eastAsia"/>
          <w:szCs w:val="21"/>
        </w:rPr>
        <w:t>目前，稳定性可以通过各类攻击算法的攻击成功率或攻击性能来衡量；可解释性中的泛化能力，可以通过泛化误差上界来描述；隐私保护能力常通过差分隐私法来刻画，也能通过各类隐私攻击算法的攻击成功率或攻击性能来评估；公平性则使用一系列公平决策指标来进行衡量，这些指标主要分为个体公平性及群体公平性两大类。</w:t>
      </w:r>
    </w:p>
    <w:p w14:paraId="2ADB519B" w14:textId="718C7A64" w:rsidR="00E33C6D" w:rsidRPr="00FC1003" w:rsidRDefault="009722A1" w:rsidP="00FC1003">
      <w:pPr>
        <w:spacing w:line="360" w:lineRule="auto"/>
        <w:ind w:firstLineChars="200" w:firstLine="420"/>
        <w:rPr>
          <w:rFonts w:ascii="微软雅黑" w:eastAsia="微软雅黑" w:hAnsi="微软雅黑"/>
          <w:szCs w:val="21"/>
        </w:rPr>
      </w:pPr>
      <w:r w:rsidRPr="00FC1003">
        <w:rPr>
          <w:rFonts w:ascii="微软雅黑" w:eastAsia="微软雅黑" w:hAnsi="微软雅黑" w:hint="eastAsia"/>
          <w:szCs w:val="21"/>
        </w:rPr>
        <w:t>同时他</w:t>
      </w:r>
      <w:r w:rsidR="004541B4" w:rsidRPr="00FC1003">
        <w:rPr>
          <w:rFonts w:ascii="微软雅黑" w:eastAsia="微软雅黑" w:hAnsi="微软雅黑" w:hint="eastAsia"/>
          <w:szCs w:val="21"/>
        </w:rPr>
        <w:t>强调，这四个方面内部</w:t>
      </w:r>
      <w:r w:rsidR="00E33C6D" w:rsidRPr="00FC1003">
        <w:rPr>
          <w:rFonts w:ascii="微软雅黑" w:eastAsia="微软雅黑" w:hAnsi="微软雅黑" w:hint="eastAsia"/>
          <w:szCs w:val="21"/>
        </w:rPr>
        <w:t>存在</w:t>
      </w:r>
      <w:r w:rsidR="004541B4" w:rsidRPr="00FC1003">
        <w:rPr>
          <w:rFonts w:ascii="微软雅黑" w:eastAsia="微软雅黑" w:hAnsi="微软雅黑" w:hint="eastAsia"/>
          <w:szCs w:val="21"/>
        </w:rPr>
        <w:t>着</w:t>
      </w:r>
      <w:r w:rsidR="00E33C6D" w:rsidRPr="00FC1003">
        <w:rPr>
          <w:rFonts w:ascii="微软雅黑" w:eastAsia="微软雅黑" w:hAnsi="微软雅黑" w:hint="eastAsia"/>
          <w:szCs w:val="21"/>
        </w:rPr>
        <w:t>深层次联系，彼此之间并不孤立。因此，</w:t>
      </w:r>
      <w:r w:rsidR="00E33C6D" w:rsidRPr="00FC1003">
        <w:rPr>
          <w:rFonts w:ascii="微软雅黑" w:eastAsia="微软雅黑" w:hAnsi="微软雅黑"/>
          <w:szCs w:val="21"/>
        </w:rPr>
        <w:t>在</w:t>
      </w:r>
      <w:r w:rsidR="00E33C6D" w:rsidRPr="00FC1003">
        <w:rPr>
          <w:rFonts w:ascii="微软雅黑" w:eastAsia="微软雅黑" w:hAnsi="微软雅黑" w:hint="eastAsia"/>
          <w:szCs w:val="21"/>
        </w:rPr>
        <w:t>开展可信人工智能</w:t>
      </w:r>
      <w:r w:rsidR="00E33C6D" w:rsidRPr="00FC1003">
        <w:rPr>
          <w:rFonts w:ascii="微软雅黑" w:eastAsia="微软雅黑" w:hAnsi="微软雅黑"/>
          <w:szCs w:val="21"/>
        </w:rPr>
        <w:t>研究时，不能</w:t>
      </w:r>
      <w:r w:rsidR="00E33C6D" w:rsidRPr="00FC1003">
        <w:rPr>
          <w:rFonts w:ascii="微软雅黑" w:eastAsia="微软雅黑" w:hAnsi="微软雅黑" w:hint="eastAsia"/>
          <w:szCs w:val="21"/>
        </w:rPr>
        <w:t>仅</w:t>
      </w:r>
      <w:r w:rsidR="00E33C6D" w:rsidRPr="00FC1003">
        <w:rPr>
          <w:rFonts w:ascii="微软雅黑" w:eastAsia="微软雅黑" w:hAnsi="微软雅黑"/>
          <w:szCs w:val="21"/>
        </w:rPr>
        <w:t>从单一维度出发，</w:t>
      </w:r>
      <w:r w:rsidR="00E33C6D" w:rsidRPr="00FC1003">
        <w:rPr>
          <w:rFonts w:ascii="微软雅黑" w:eastAsia="微软雅黑" w:hAnsi="微软雅黑" w:hint="eastAsia"/>
          <w:szCs w:val="21"/>
        </w:rPr>
        <w:t>而需</w:t>
      </w:r>
      <w:r w:rsidR="00E33C6D" w:rsidRPr="00FC1003">
        <w:rPr>
          <w:rFonts w:ascii="微软雅黑" w:eastAsia="微软雅黑" w:hAnsi="微软雅黑"/>
          <w:szCs w:val="21"/>
        </w:rPr>
        <w:t>要从整体</w:t>
      </w:r>
      <w:r w:rsidR="00E33C6D" w:rsidRPr="00FC1003">
        <w:rPr>
          <w:rFonts w:ascii="微软雅黑" w:eastAsia="微软雅黑" w:hAnsi="微软雅黑" w:hint="eastAsia"/>
          <w:szCs w:val="21"/>
        </w:rPr>
        <w:t>综合</w:t>
      </w:r>
      <w:r w:rsidR="00E33C6D" w:rsidRPr="00FC1003">
        <w:rPr>
          <w:rFonts w:ascii="微软雅黑" w:eastAsia="微软雅黑" w:hAnsi="微软雅黑"/>
          <w:szCs w:val="21"/>
        </w:rPr>
        <w:t>考虑不同因素之间的影响</w:t>
      </w:r>
      <w:r w:rsidR="00E33C6D" w:rsidRPr="00FC1003">
        <w:rPr>
          <w:rFonts w:ascii="微软雅黑" w:eastAsia="微软雅黑" w:hAnsi="微软雅黑" w:hint="eastAsia"/>
          <w:szCs w:val="21"/>
        </w:rPr>
        <w:t>。这样，</w:t>
      </w:r>
      <w:r w:rsidR="00E33C6D" w:rsidRPr="00FC1003">
        <w:rPr>
          <w:rFonts w:ascii="微软雅黑" w:eastAsia="微软雅黑" w:hAnsi="微软雅黑"/>
          <w:szCs w:val="21"/>
        </w:rPr>
        <w:t>才能更好</w:t>
      </w:r>
      <w:r w:rsidR="0089193C" w:rsidRPr="00FC1003">
        <w:rPr>
          <w:rFonts w:ascii="微软雅黑" w:eastAsia="微软雅黑" w:hAnsi="微软雅黑" w:hint="eastAsia"/>
          <w:szCs w:val="21"/>
        </w:rPr>
        <w:t>地</w:t>
      </w:r>
      <w:r w:rsidR="00E33C6D" w:rsidRPr="00FC1003">
        <w:rPr>
          <w:rFonts w:ascii="微软雅黑" w:eastAsia="微软雅黑" w:hAnsi="微软雅黑" w:hint="eastAsia"/>
          <w:szCs w:val="21"/>
        </w:rPr>
        <w:t>进行</w:t>
      </w:r>
      <w:r w:rsidR="00E33C6D" w:rsidRPr="00FC1003">
        <w:rPr>
          <w:rFonts w:ascii="微软雅黑" w:eastAsia="微软雅黑" w:hAnsi="微软雅黑"/>
          <w:szCs w:val="21"/>
        </w:rPr>
        <w:t>相关研究</w:t>
      </w:r>
      <w:r w:rsidR="00E33C6D" w:rsidRPr="00FC1003">
        <w:rPr>
          <w:rFonts w:ascii="微软雅黑" w:eastAsia="微软雅黑" w:hAnsi="微软雅黑" w:hint="eastAsia"/>
          <w:szCs w:val="21"/>
        </w:rPr>
        <w:t>，从而推动可信人工智能的进一步发展</w:t>
      </w:r>
      <w:r w:rsidR="00E33C6D" w:rsidRPr="00FC1003">
        <w:rPr>
          <w:rFonts w:ascii="微软雅黑" w:eastAsia="微软雅黑" w:hAnsi="微软雅黑"/>
          <w:szCs w:val="21"/>
        </w:rPr>
        <w:t>。</w:t>
      </w:r>
    </w:p>
    <w:p w14:paraId="17A6681D" w14:textId="06B6EB3E" w:rsidR="009722A1" w:rsidRPr="00FC1003" w:rsidRDefault="009722A1" w:rsidP="00FC1003">
      <w:pPr>
        <w:spacing w:line="360" w:lineRule="auto"/>
        <w:ind w:firstLineChars="200" w:firstLine="420"/>
        <w:jc w:val="center"/>
        <w:rPr>
          <w:rFonts w:ascii="微软雅黑" w:eastAsia="微软雅黑" w:hAnsi="微软雅黑"/>
          <w:szCs w:val="21"/>
        </w:rPr>
      </w:pPr>
      <w:bookmarkStart w:id="0" w:name="_GoBack"/>
      <w:r w:rsidRPr="00FC1003">
        <w:rPr>
          <w:rFonts w:ascii="微软雅黑" w:eastAsia="微软雅黑" w:hAnsi="微软雅黑"/>
          <w:noProof/>
          <w:szCs w:val="21"/>
        </w:rPr>
        <w:drawing>
          <wp:inline distT="0" distB="0" distL="0" distR="0" wp14:anchorId="326B658B" wp14:editId="27A265F0">
            <wp:extent cx="3573118" cy="2009824"/>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273" cy="2014411"/>
                    </a:xfrm>
                    <a:prstGeom prst="rect">
                      <a:avLst/>
                    </a:prstGeom>
                  </pic:spPr>
                </pic:pic>
              </a:graphicData>
            </a:graphic>
          </wp:inline>
        </w:drawing>
      </w:r>
      <w:bookmarkEnd w:id="0"/>
    </w:p>
    <w:p w14:paraId="51E18A7F" w14:textId="4928077F" w:rsidR="006C6EF2" w:rsidRPr="00FC1003" w:rsidRDefault="00704DEC" w:rsidP="00FC1003">
      <w:pPr>
        <w:spacing w:line="360" w:lineRule="auto"/>
        <w:ind w:firstLineChars="200" w:firstLine="420"/>
        <w:rPr>
          <w:rFonts w:ascii="微软雅黑" w:eastAsia="微软雅黑" w:hAnsi="微软雅黑"/>
          <w:szCs w:val="21"/>
        </w:rPr>
      </w:pPr>
      <w:r w:rsidRPr="00FC1003">
        <w:rPr>
          <w:rFonts w:ascii="微软雅黑" w:eastAsia="微软雅黑" w:hAnsi="微软雅黑" w:hint="eastAsia"/>
          <w:szCs w:val="21"/>
        </w:rPr>
        <w:lastRenderedPageBreak/>
        <w:t>展望可信AI的未来，陶大程博士</w:t>
      </w:r>
      <w:r w:rsidR="00A94FBD" w:rsidRPr="00FC1003">
        <w:rPr>
          <w:rFonts w:ascii="微软雅黑" w:eastAsia="微软雅黑" w:hAnsi="微软雅黑" w:hint="eastAsia"/>
          <w:szCs w:val="21"/>
        </w:rPr>
        <w:t>预测未来</w:t>
      </w:r>
      <w:r w:rsidR="00E33C6D" w:rsidRPr="00FC1003">
        <w:rPr>
          <w:rFonts w:ascii="微软雅黑" w:eastAsia="微软雅黑" w:hAnsi="微软雅黑" w:hint="eastAsia"/>
          <w:szCs w:val="21"/>
        </w:rPr>
        <w:t>可信AI一体化研究将是重要趋势，而可信能力评测也将成为人工智能产业落地过程中的重要一环。从理论与实践层面持续开展可信AI研究，</w:t>
      </w:r>
      <w:r w:rsidR="004541B4" w:rsidRPr="00FC1003">
        <w:rPr>
          <w:rFonts w:ascii="微软雅黑" w:eastAsia="微软雅黑" w:hAnsi="微软雅黑" w:hint="eastAsia"/>
          <w:szCs w:val="21"/>
        </w:rPr>
        <w:t>将推动人工智能产业新浪潮，</w:t>
      </w:r>
      <w:r w:rsidR="00E33C6D" w:rsidRPr="00FC1003">
        <w:rPr>
          <w:rFonts w:ascii="微软雅黑" w:eastAsia="微软雅黑" w:hAnsi="微软雅黑" w:hint="eastAsia"/>
          <w:szCs w:val="21"/>
        </w:rPr>
        <w:t>帮助人工智能实现可信，将充分释放人工智能的潜力，并更好地造福人类社会。</w:t>
      </w:r>
    </w:p>
    <w:p w14:paraId="4CE2CE6E" w14:textId="31C96C04" w:rsidR="006C6EF2" w:rsidRPr="00FC1003" w:rsidRDefault="00F94DCF" w:rsidP="00FC1003">
      <w:pPr>
        <w:spacing w:line="360" w:lineRule="auto"/>
        <w:ind w:firstLineChars="200" w:firstLine="420"/>
        <w:rPr>
          <w:rFonts w:ascii="微软雅黑" w:eastAsia="微软雅黑" w:hAnsi="微软雅黑"/>
          <w:szCs w:val="21"/>
        </w:rPr>
      </w:pPr>
      <w:r w:rsidRPr="00FC1003">
        <w:rPr>
          <w:rFonts w:ascii="微软雅黑" w:eastAsia="微软雅黑" w:hAnsi="微软雅黑" w:hint="eastAsia"/>
          <w:szCs w:val="21"/>
        </w:rPr>
        <w:t>目前，</w:t>
      </w:r>
      <w:r w:rsidRPr="00FC1003">
        <w:rPr>
          <w:rFonts w:ascii="微软雅黑" w:eastAsia="微软雅黑" w:hAnsi="微软雅黑"/>
          <w:szCs w:val="21"/>
        </w:rPr>
        <w:t>可信人工智能</w:t>
      </w:r>
      <w:r w:rsidRPr="00FC1003">
        <w:rPr>
          <w:rFonts w:ascii="微软雅黑" w:eastAsia="微软雅黑" w:hAnsi="微软雅黑" w:hint="eastAsia"/>
          <w:szCs w:val="21"/>
        </w:rPr>
        <w:t>已作为</w:t>
      </w:r>
      <w:r w:rsidR="006C6EF2" w:rsidRPr="00FC1003">
        <w:rPr>
          <w:rFonts w:ascii="微软雅黑" w:eastAsia="微软雅黑" w:hAnsi="微软雅黑"/>
          <w:szCs w:val="21"/>
        </w:rPr>
        <w:t>京东探索研究院</w:t>
      </w:r>
      <w:r w:rsidRPr="00FC1003">
        <w:rPr>
          <w:rFonts w:ascii="微软雅黑" w:eastAsia="微软雅黑" w:hAnsi="微软雅黑" w:hint="eastAsia"/>
          <w:szCs w:val="21"/>
        </w:rPr>
        <w:t>锁定的三大</w:t>
      </w:r>
      <w:r w:rsidR="006C6EF2" w:rsidRPr="00FC1003">
        <w:rPr>
          <w:rFonts w:ascii="微软雅黑" w:eastAsia="微软雅黑" w:hAnsi="微软雅黑"/>
          <w:szCs w:val="21"/>
        </w:rPr>
        <w:t>研究方向</w:t>
      </w:r>
      <w:r w:rsidRPr="00FC1003">
        <w:rPr>
          <w:rFonts w:ascii="微软雅黑" w:eastAsia="微软雅黑" w:hAnsi="微软雅黑" w:hint="eastAsia"/>
          <w:szCs w:val="21"/>
        </w:rPr>
        <w:t>之一，京东探索研究院</w:t>
      </w:r>
      <w:r w:rsidR="0089193C" w:rsidRPr="00FC1003">
        <w:rPr>
          <w:rFonts w:ascii="微软雅黑" w:eastAsia="微软雅黑" w:hAnsi="微软雅黑"/>
          <w:szCs w:val="21"/>
        </w:rPr>
        <w:t>致力于从基础理论层面实现颠覆式创新，</w:t>
      </w:r>
      <w:proofErr w:type="gramStart"/>
      <w:r w:rsidR="0089193C" w:rsidRPr="00FC1003">
        <w:rPr>
          <w:rFonts w:ascii="微软雅黑" w:eastAsia="微软雅黑" w:hAnsi="微软雅黑"/>
          <w:szCs w:val="21"/>
        </w:rPr>
        <w:t>助力数智</w:t>
      </w:r>
      <w:proofErr w:type="gramEnd"/>
      <w:r w:rsidR="0089193C" w:rsidRPr="00FC1003">
        <w:rPr>
          <w:rFonts w:ascii="微软雅黑" w:eastAsia="微软雅黑" w:hAnsi="微软雅黑"/>
          <w:szCs w:val="21"/>
        </w:rPr>
        <w:t>化产业发展及</w:t>
      </w:r>
      <w:r w:rsidR="006C6EF2" w:rsidRPr="00FC1003">
        <w:rPr>
          <w:rFonts w:ascii="微软雅黑" w:eastAsia="微软雅黑" w:hAnsi="微软雅黑"/>
          <w:szCs w:val="21"/>
        </w:rPr>
        <w:t>变革</w:t>
      </w:r>
      <w:r w:rsidR="006C6EF2" w:rsidRPr="00FC1003">
        <w:rPr>
          <w:rFonts w:ascii="微软雅黑" w:eastAsia="微软雅黑" w:hAnsi="微软雅黑" w:hint="eastAsia"/>
          <w:szCs w:val="21"/>
        </w:rPr>
        <w:t>，集合京东</w:t>
      </w:r>
      <w:r w:rsidR="006C6EF2" w:rsidRPr="00FC1003">
        <w:rPr>
          <w:rFonts w:ascii="微软雅黑" w:eastAsia="微软雅黑" w:hAnsi="微软雅黑"/>
          <w:szCs w:val="21"/>
        </w:rPr>
        <w:t>集团资源和能力，专注前沿科技探索，致力于实现研究和协同创新的生态平台，并以原创性科技赋能零售、物流、健康、科技等全产业链场景，打造源头性科技高地</w:t>
      </w:r>
      <w:r w:rsidR="006C6EF2" w:rsidRPr="00FC1003">
        <w:rPr>
          <w:rFonts w:ascii="微软雅黑" w:eastAsia="微软雅黑" w:hAnsi="微软雅黑" w:hint="eastAsia"/>
          <w:szCs w:val="21"/>
        </w:rPr>
        <w:t>。</w:t>
      </w:r>
    </w:p>
    <w:sectPr w:rsidR="006C6EF2" w:rsidRPr="00FC1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45087" w14:textId="77777777" w:rsidR="000901C7" w:rsidRDefault="000901C7" w:rsidP="0079477B">
      <w:r>
        <w:separator/>
      </w:r>
    </w:p>
  </w:endnote>
  <w:endnote w:type="continuationSeparator" w:id="0">
    <w:p w14:paraId="6DE53F1D" w14:textId="77777777" w:rsidR="000901C7" w:rsidRDefault="000901C7" w:rsidP="00794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46D89" w14:textId="77777777" w:rsidR="000901C7" w:rsidRDefault="000901C7" w:rsidP="0079477B">
      <w:r>
        <w:separator/>
      </w:r>
    </w:p>
  </w:footnote>
  <w:footnote w:type="continuationSeparator" w:id="0">
    <w:p w14:paraId="210DF926" w14:textId="77777777" w:rsidR="000901C7" w:rsidRDefault="000901C7" w:rsidP="00794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D20CA"/>
    <w:multiLevelType w:val="hybridMultilevel"/>
    <w:tmpl w:val="36BC5B70"/>
    <w:lvl w:ilvl="0" w:tplc="A956F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3316AE"/>
    <w:multiLevelType w:val="hybridMultilevel"/>
    <w:tmpl w:val="784C9D12"/>
    <w:lvl w:ilvl="0" w:tplc="44169668">
      <w:start w:val="1"/>
      <w:numFmt w:val="bullet"/>
      <w:lvlText w:val="•"/>
      <w:lvlJc w:val="left"/>
      <w:pPr>
        <w:tabs>
          <w:tab w:val="num" w:pos="720"/>
        </w:tabs>
        <w:ind w:left="720" w:hanging="360"/>
      </w:pPr>
      <w:rPr>
        <w:rFonts w:ascii="Arial" w:hAnsi="Arial" w:hint="default"/>
      </w:rPr>
    </w:lvl>
    <w:lvl w:ilvl="1" w:tplc="AB207F16" w:tentative="1">
      <w:start w:val="1"/>
      <w:numFmt w:val="bullet"/>
      <w:lvlText w:val="•"/>
      <w:lvlJc w:val="left"/>
      <w:pPr>
        <w:tabs>
          <w:tab w:val="num" w:pos="1440"/>
        </w:tabs>
        <w:ind w:left="1440" w:hanging="360"/>
      </w:pPr>
      <w:rPr>
        <w:rFonts w:ascii="Arial" w:hAnsi="Arial" w:hint="default"/>
      </w:rPr>
    </w:lvl>
    <w:lvl w:ilvl="2" w:tplc="F3D4D380" w:tentative="1">
      <w:start w:val="1"/>
      <w:numFmt w:val="bullet"/>
      <w:lvlText w:val="•"/>
      <w:lvlJc w:val="left"/>
      <w:pPr>
        <w:tabs>
          <w:tab w:val="num" w:pos="2160"/>
        </w:tabs>
        <w:ind w:left="2160" w:hanging="360"/>
      </w:pPr>
      <w:rPr>
        <w:rFonts w:ascii="Arial" w:hAnsi="Arial" w:hint="default"/>
      </w:rPr>
    </w:lvl>
    <w:lvl w:ilvl="3" w:tplc="7F8E06EA" w:tentative="1">
      <w:start w:val="1"/>
      <w:numFmt w:val="bullet"/>
      <w:lvlText w:val="•"/>
      <w:lvlJc w:val="left"/>
      <w:pPr>
        <w:tabs>
          <w:tab w:val="num" w:pos="2880"/>
        </w:tabs>
        <w:ind w:left="2880" w:hanging="360"/>
      </w:pPr>
      <w:rPr>
        <w:rFonts w:ascii="Arial" w:hAnsi="Arial" w:hint="default"/>
      </w:rPr>
    </w:lvl>
    <w:lvl w:ilvl="4" w:tplc="A26C9166" w:tentative="1">
      <w:start w:val="1"/>
      <w:numFmt w:val="bullet"/>
      <w:lvlText w:val="•"/>
      <w:lvlJc w:val="left"/>
      <w:pPr>
        <w:tabs>
          <w:tab w:val="num" w:pos="3600"/>
        </w:tabs>
        <w:ind w:left="3600" w:hanging="360"/>
      </w:pPr>
      <w:rPr>
        <w:rFonts w:ascii="Arial" w:hAnsi="Arial" w:hint="default"/>
      </w:rPr>
    </w:lvl>
    <w:lvl w:ilvl="5" w:tplc="8B9454E6" w:tentative="1">
      <w:start w:val="1"/>
      <w:numFmt w:val="bullet"/>
      <w:lvlText w:val="•"/>
      <w:lvlJc w:val="left"/>
      <w:pPr>
        <w:tabs>
          <w:tab w:val="num" w:pos="4320"/>
        </w:tabs>
        <w:ind w:left="4320" w:hanging="360"/>
      </w:pPr>
      <w:rPr>
        <w:rFonts w:ascii="Arial" w:hAnsi="Arial" w:hint="default"/>
      </w:rPr>
    </w:lvl>
    <w:lvl w:ilvl="6" w:tplc="6A7CB350" w:tentative="1">
      <w:start w:val="1"/>
      <w:numFmt w:val="bullet"/>
      <w:lvlText w:val="•"/>
      <w:lvlJc w:val="left"/>
      <w:pPr>
        <w:tabs>
          <w:tab w:val="num" w:pos="5040"/>
        </w:tabs>
        <w:ind w:left="5040" w:hanging="360"/>
      </w:pPr>
      <w:rPr>
        <w:rFonts w:ascii="Arial" w:hAnsi="Arial" w:hint="default"/>
      </w:rPr>
    </w:lvl>
    <w:lvl w:ilvl="7" w:tplc="9446CD72" w:tentative="1">
      <w:start w:val="1"/>
      <w:numFmt w:val="bullet"/>
      <w:lvlText w:val="•"/>
      <w:lvlJc w:val="left"/>
      <w:pPr>
        <w:tabs>
          <w:tab w:val="num" w:pos="5760"/>
        </w:tabs>
        <w:ind w:left="5760" w:hanging="360"/>
      </w:pPr>
      <w:rPr>
        <w:rFonts w:ascii="Arial" w:hAnsi="Arial" w:hint="default"/>
      </w:rPr>
    </w:lvl>
    <w:lvl w:ilvl="8" w:tplc="3B70843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CB2"/>
    <w:rsid w:val="00007B2C"/>
    <w:rsid w:val="000901C7"/>
    <w:rsid w:val="000F428B"/>
    <w:rsid w:val="00110CB2"/>
    <w:rsid w:val="001B365D"/>
    <w:rsid w:val="001C2E5A"/>
    <w:rsid w:val="00262444"/>
    <w:rsid w:val="002B095C"/>
    <w:rsid w:val="003267F5"/>
    <w:rsid w:val="00405C84"/>
    <w:rsid w:val="00412215"/>
    <w:rsid w:val="004541B4"/>
    <w:rsid w:val="0045633A"/>
    <w:rsid w:val="004835E8"/>
    <w:rsid w:val="004949BB"/>
    <w:rsid w:val="004A052C"/>
    <w:rsid w:val="004F6134"/>
    <w:rsid w:val="00570EB5"/>
    <w:rsid w:val="006071F8"/>
    <w:rsid w:val="00611FFB"/>
    <w:rsid w:val="0061527F"/>
    <w:rsid w:val="0063644F"/>
    <w:rsid w:val="0066693E"/>
    <w:rsid w:val="006C6EF2"/>
    <w:rsid w:val="00704DEC"/>
    <w:rsid w:val="00715439"/>
    <w:rsid w:val="007277BD"/>
    <w:rsid w:val="00752848"/>
    <w:rsid w:val="0079477B"/>
    <w:rsid w:val="008275FA"/>
    <w:rsid w:val="0084753F"/>
    <w:rsid w:val="0089193C"/>
    <w:rsid w:val="00941138"/>
    <w:rsid w:val="009722A1"/>
    <w:rsid w:val="009C4F38"/>
    <w:rsid w:val="00A06909"/>
    <w:rsid w:val="00A33466"/>
    <w:rsid w:val="00A757D8"/>
    <w:rsid w:val="00A94FBD"/>
    <w:rsid w:val="00AB61CF"/>
    <w:rsid w:val="00CA0C8A"/>
    <w:rsid w:val="00D25C9A"/>
    <w:rsid w:val="00DB0FB0"/>
    <w:rsid w:val="00DD797F"/>
    <w:rsid w:val="00DE30AF"/>
    <w:rsid w:val="00E33C6D"/>
    <w:rsid w:val="00E7282C"/>
    <w:rsid w:val="00E73B7F"/>
    <w:rsid w:val="00F107A6"/>
    <w:rsid w:val="00F778BD"/>
    <w:rsid w:val="00F94DCF"/>
    <w:rsid w:val="00FC1003"/>
    <w:rsid w:val="00FD7512"/>
    <w:rsid w:val="00FE7262"/>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B37C6"/>
  <w15:chartTrackingRefBased/>
  <w15:docId w15:val="{0BEB00E4-2007-4122-A003-24B96FBE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47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477B"/>
    <w:rPr>
      <w:sz w:val="18"/>
      <w:szCs w:val="18"/>
    </w:rPr>
  </w:style>
  <w:style w:type="paragraph" w:styleId="a5">
    <w:name w:val="footer"/>
    <w:basedOn w:val="a"/>
    <w:link w:val="a6"/>
    <w:uiPriority w:val="99"/>
    <w:unhideWhenUsed/>
    <w:rsid w:val="0079477B"/>
    <w:pPr>
      <w:tabs>
        <w:tab w:val="center" w:pos="4153"/>
        <w:tab w:val="right" w:pos="8306"/>
      </w:tabs>
      <w:snapToGrid w:val="0"/>
      <w:jc w:val="left"/>
    </w:pPr>
    <w:rPr>
      <w:sz w:val="18"/>
      <w:szCs w:val="18"/>
    </w:rPr>
  </w:style>
  <w:style w:type="character" w:customStyle="1" w:styleId="a6">
    <w:name w:val="页脚 字符"/>
    <w:basedOn w:val="a0"/>
    <w:link w:val="a5"/>
    <w:uiPriority w:val="99"/>
    <w:rsid w:val="0079477B"/>
    <w:rPr>
      <w:sz w:val="18"/>
      <w:szCs w:val="18"/>
    </w:rPr>
  </w:style>
  <w:style w:type="paragraph" w:styleId="a7">
    <w:name w:val="List Paragraph"/>
    <w:basedOn w:val="a"/>
    <w:uiPriority w:val="34"/>
    <w:qFormat/>
    <w:rsid w:val="00E7282C"/>
    <w:pPr>
      <w:ind w:firstLineChars="200" w:firstLine="420"/>
    </w:pPr>
  </w:style>
  <w:style w:type="character" w:styleId="a8">
    <w:name w:val="Strong"/>
    <w:basedOn w:val="a0"/>
    <w:uiPriority w:val="22"/>
    <w:qFormat/>
    <w:rsid w:val="00DE30AF"/>
    <w:rPr>
      <w:b/>
      <w:bCs/>
    </w:rPr>
  </w:style>
  <w:style w:type="paragraph" w:styleId="a9">
    <w:name w:val="Normal (Web)"/>
    <w:basedOn w:val="a"/>
    <w:uiPriority w:val="99"/>
    <w:semiHidden/>
    <w:unhideWhenUsed/>
    <w:rsid w:val="00DB0F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61196">
      <w:bodyDiv w:val="1"/>
      <w:marLeft w:val="0"/>
      <w:marRight w:val="0"/>
      <w:marTop w:val="0"/>
      <w:marBottom w:val="0"/>
      <w:divBdr>
        <w:top w:val="none" w:sz="0" w:space="0" w:color="auto"/>
        <w:left w:val="none" w:sz="0" w:space="0" w:color="auto"/>
        <w:bottom w:val="none" w:sz="0" w:space="0" w:color="auto"/>
        <w:right w:val="none" w:sz="0" w:space="0" w:color="auto"/>
      </w:divBdr>
    </w:div>
    <w:div w:id="323827669">
      <w:bodyDiv w:val="1"/>
      <w:marLeft w:val="0"/>
      <w:marRight w:val="0"/>
      <w:marTop w:val="0"/>
      <w:marBottom w:val="0"/>
      <w:divBdr>
        <w:top w:val="none" w:sz="0" w:space="0" w:color="auto"/>
        <w:left w:val="none" w:sz="0" w:space="0" w:color="auto"/>
        <w:bottom w:val="none" w:sz="0" w:space="0" w:color="auto"/>
        <w:right w:val="none" w:sz="0" w:space="0" w:color="auto"/>
      </w:divBdr>
    </w:div>
    <w:div w:id="675889848">
      <w:bodyDiv w:val="1"/>
      <w:marLeft w:val="0"/>
      <w:marRight w:val="0"/>
      <w:marTop w:val="0"/>
      <w:marBottom w:val="0"/>
      <w:divBdr>
        <w:top w:val="none" w:sz="0" w:space="0" w:color="auto"/>
        <w:left w:val="none" w:sz="0" w:space="0" w:color="auto"/>
        <w:bottom w:val="none" w:sz="0" w:space="0" w:color="auto"/>
        <w:right w:val="none" w:sz="0" w:space="0" w:color="auto"/>
      </w:divBdr>
    </w:div>
    <w:div w:id="798769089">
      <w:bodyDiv w:val="1"/>
      <w:marLeft w:val="0"/>
      <w:marRight w:val="0"/>
      <w:marTop w:val="0"/>
      <w:marBottom w:val="0"/>
      <w:divBdr>
        <w:top w:val="none" w:sz="0" w:space="0" w:color="auto"/>
        <w:left w:val="none" w:sz="0" w:space="0" w:color="auto"/>
        <w:bottom w:val="none" w:sz="0" w:space="0" w:color="auto"/>
        <w:right w:val="none" w:sz="0" w:space="0" w:color="auto"/>
      </w:divBdr>
    </w:div>
    <w:div w:id="835219556">
      <w:bodyDiv w:val="1"/>
      <w:marLeft w:val="0"/>
      <w:marRight w:val="0"/>
      <w:marTop w:val="0"/>
      <w:marBottom w:val="0"/>
      <w:divBdr>
        <w:top w:val="none" w:sz="0" w:space="0" w:color="auto"/>
        <w:left w:val="none" w:sz="0" w:space="0" w:color="auto"/>
        <w:bottom w:val="none" w:sz="0" w:space="0" w:color="auto"/>
        <w:right w:val="none" w:sz="0" w:space="0" w:color="auto"/>
      </w:divBdr>
    </w:div>
    <w:div w:id="891430289">
      <w:bodyDiv w:val="1"/>
      <w:marLeft w:val="0"/>
      <w:marRight w:val="0"/>
      <w:marTop w:val="0"/>
      <w:marBottom w:val="0"/>
      <w:divBdr>
        <w:top w:val="none" w:sz="0" w:space="0" w:color="auto"/>
        <w:left w:val="none" w:sz="0" w:space="0" w:color="auto"/>
        <w:bottom w:val="none" w:sz="0" w:space="0" w:color="auto"/>
        <w:right w:val="none" w:sz="0" w:space="0" w:color="auto"/>
      </w:divBdr>
    </w:div>
    <w:div w:id="1010988810">
      <w:bodyDiv w:val="1"/>
      <w:marLeft w:val="0"/>
      <w:marRight w:val="0"/>
      <w:marTop w:val="0"/>
      <w:marBottom w:val="0"/>
      <w:divBdr>
        <w:top w:val="none" w:sz="0" w:space="0" w:color="auto"/>
        <w:left w:val="none" w:sz="0" w:space="0" w:color="auto"/>
        <w:bottom w:val="none" w:sz="0" w:space="0" w:color="auto"/>
        <w:right w:val="none" w:sz="0" w:space="0" w:color="auto"/>
      </w:divBdr>
    </w:div>
    <w:div w:id="1159536549">
      <w:bodyDiv w:val="1"/>
      <w:marLeft w:val="0"/>
      <w:marRight w:val="0"/>
      <w:marTop w:val="0"/>
      <w:marBottom w:val="0"/>
      <w:divBdr>
        <w:top w:val="none" w:sz="0" w:space="0" w:color="auto"/>
        <w:left w:val="none" w:sz="0" w:space="0" w:color="auto"/>
        <w:bottom w:val="none" w:sz="0" w:space="0" w:color="auto"/>
        <w:right w:val="none" w:sz="0" w:space="0" w:color="auto"/>
      </w:divBdr>
      <w:divsChild>
        <w:div w:id="254023579">
          <w:marLeft w:val="274"/>
          <w:marRight w:val="0"/>
          <w:marTop w:val="0"/>
          <w:marBottom w:val="0"/>
          <w:divBdr>
            <w:top w:val="none" w:sz="0" w:space="0" w:color="auto"/>
            <w:left w:val="none" w:sz="0" w:space="0" w:color="auto"/>
            <w:bottom w:val="none" w:sz="0" w:space="0" w:color="auto"/>
            <w:right w:val="none" w:sz="0" w:space="0" w:color="auto"/>
          </w:divBdr>
        </w:div>
        <w:div w:id="946542031">
          <w:marLeft w:val="274"/>
          <w:marRight w:val="0"/>
          <w:marTop w:val="0"/>
          <w:marBottom w:val="0"/>
          <w:divBdr>
            <w:top w:val="none" w:sz="0" w:space="0" w:color="auto"/>
            <w:left w:val="none" w:sz="0" w:space="0" w:color="auto"/>
            <w:bottom w:val="none" w:sz="0" w:space="0" w:color="auto"/>
            <w:right w:val="none" w:sz="0" w:space="0" w:color="auto"/>
          </w:divBdr>
        </w:div>
        <w:div w:id="76176192">
          <w:marLeft w:val="274"/>
          <w:marRight w:val="0"/>
          <w:marTop w:val="0"/>
          <w:marBottom w:val="0"/>
          <w:divBdr>
            <w:top w:val="none" w:sz="0" w:space="0" w:color="auto"/>
            <w:left w:val="none" w:sz="0" w:space="0" w:color="auto"/>
            <w:bottom w:val="none" w:sz="0" w:space="0" w:color="auto"/>
            <w:right w:val="none" w:sz="0" w:space="0" w:color="auto"/>
          </w:divBdr>
        </w:div>
      </w:divsChild>
    </w:div>
    <w:div w:id="168416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 Wayne</dc:creator>
  <cp:keywords/>
  <dc:description/>
  <cp:lastModifiedBy>zhangyuxin59</cp:lastModifiedBy>
  <cp:revision>2</cp:revision>
  <dcterms:created xsi:type="dcterms:W3CDTF">2021-09-15T06:34:00Z</dcterms:created>
  <dcterms:modified xsi:type="dcterms:W3CDTF">2021-09-15T06:34:00Z</dcterms:modified>
</cp:coreProperties>
</file>