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B2D45"/>
          <w:sz w:val="40"/>
          <w:szCs w:val="40"/>
        </w:rPr>
        <w:t xml:space="preserve">Standards Alignment &amp; Gap Analysis</w:t>
      </w:r>
    </w:p>
    <w:p>
      <w:pPr>
        <w:spacing w:after="40"/>
      </w:pPr>
      <w:r>
        <w:rPr>
          <w:b/>
          <w:bCs/>
          <w:color w:val="C75B2A"/>
          <w:sz w:val="24"/>
          <w:szCs w:val="24"/>
        </w:rPr>
        <w:t xml:space="preserve">Mr. B’s 8th Grade U.S. History · Alderwood Middle School</w:t>
      </w:r>
    </w:p>
    <w:p>
      <w:pPr>
        <w:pBdr>
          <w:bottom w:val="single" w:color="B8893B" w:sz="6" w:space="6"/>
        </w:pBdr>
        <w:spacing w:after="30"/>
      </w:pPr>
      <w:r>
        <w:rPr>
          <w:i/>
          <w:iCs/>
          <w:color w:val="5C564E"/>
          <w:sz w:val="19"/>
          <w:szCs w:val="19"/>
        </w:rPr>
        <w:t xml:space="preserve">Mapped to the WA Social Studies Learning Standards (2019), Grade 8 / U.S. focus · Prepared June 2026</w:t>
      </w:r>
    </w:p>
    <w:p>
      <w:pPr>
        <w:spacing w:after="120"/>
      </w:pPr>
    </w:p>
    <w:p>
      <w:pPr>
        <w:pStyle w:val="Heading2"/>
      </w:pPr>
      <w:r>
        <w:t xml:space="preserve">How to use this document</w:t>
      </w:r>
    </w:p>
    <w:p>
      <w:r>
        <w:t xml:space="preserve">This is a working planning tool, not a compliance audit. It maps every unit on your site to the Grade 8 / U.S. standards a Washington 8th-grade course is responsible for, shows where coverage is strong, light, or missing, and turns the gaps into concrete project ideas you can act on. </w:t>
      </w:r>
      <w:r>
        <w:t xml:space="preserve">Pair it with the interactive </w:t>
      </w:r>
      <w:r>
        <w:rPr>
          <w:b/>
          <w:bCs/>
        </w:rPr>
        <w:t xml:space="preserve">Standards Progression Map</w:t>
      </w:r>
      <w:r>
        <w:t xml:space="preserve"> now linked in your site’s navigation — that page shows how each skill stacks from 6th (World) to 7th (WA State) to 8th (U.S.), while this document focuses on the 8th-grade row you actually teach.</w:t>
      </w:r>
    </w:p>
    <w:p>
      <w:pPr>
        <w:spacing w:after="40" w:before="80"/>
      </w:pPr>
      <w:r>
        <w:rPr>
          <w:b/>
          <w:bCs/>
        </w:rPr>
        <w:t xml:space="preserve">Coverage symbols used throughout:</w:t>
      </w:r>
    </w:p>
    <w:p>
      <w:pPr>
        <w:pStyle w:val="ListParagraph"/>
        <w:numPr>
          <w:ilvl w:val="0"/>
          <w:numId w:val="2"/>
        </w:numPr>
      </w:pPr>
      <w:r>
        <w:rPr>
          <w:b/>
          <w:bCs/>
          <w:color w:val="4A6741"/>
        </w:rPr>
        <w:t xml:space="preserve">●  Strong</w:t>
      </w:r>
      <w:r>
        <w:t xml:space="preserve">  — explicitly taught and assessed in the unit.</w:t>
      </w:r>
    </w:p>
    <w:p>
      <w:pPr>
        <w:pStyle w:val="ListParagraph"/>
        <w:numPr>
          <w:ilvl w:val="0"/>
          <w:numId w:val="2"/>
        </w:numPr>
      </w:pPr>
      <w:r>
        <w:rPr>
          <w:b/>
          <w:bCs/>
          <w:color w:val="B8893B"/>
        </w:rPr>
        <w:t xml:space="preserve">◐  Partial / Light</w:t>
      </w:r>
      <w:r>
        <w:t xml:space="preserve">  — touched or implied, but not a clear focus; an easy place to deepen.</w:t>
      </w:r>
    </w:p>
    <w:p>
      <w:pPr>
        <w:pStyle w:val="ListParagraph"/>
        <w:numPr>
          <w:ilvl w:val="0"/>
          <w:numId w:val="2"/>
        </w:numPr>
      </w:pPr>
      <w:r>
        <w:rPr>
          <w:b/>
          <w:bCs/>
          <w:color w:val="C75B2A"/>
        </w:rPr>
        <w:t xml:space="preserve">○  Gap</w:t>
      </w:r>
      <w:r>
        <w:t xml:space="preserve">  — a Grade 8 standard not meaningfully addressed anywhere yet.</w:t>
      </w:r>
    </w:p>
    <w:p>
      <w:pPr>
        <w:pStyle w:val="Heading1"/>
      </w:pPr>
      <w:r>
        <w:t xml:space="preserve">The big picture</w:t>
      </w:r>
    </w:p>
    <w:p>
      <w:r>
        <w:t xml:space="preserve">Your course is built on the spine of the WA 8th-grade History standard </w:t>
      </w:r>
      <w:r>
        <w:rPr>
          <w:b/>
          <w:bCs/>
        </w:rPr>
        <w:t xml:space="preserve">H1.6-8.6</w:t>
      </w:r>
      <w:r>
        <w:t xml:space="preserve"> — U.S. history from 1763 to 1877 — and you cover its four required eras in order: Fighting for independence, Establishing the new nation, Slavery/expansion/removal/reform, and Civil War &amp; Reconstruction. That chronological backbone is exactly what the standards ask for, and your consistent “whose story is left out?” throughline is a direct, repeated hit on the multiple-perspectives standards (</w:t>
      </w:r>
      <w:r>
        <w:rPr>
          <w:b/>
          <w:bCs/>
        </w:rPr>
        <w:t xml:space="preserve">H3.6-8.4</w:t>
      </w:r>
      <w:r>
        <w:t xml:space="preserve"> and </w:t>
      </w:r>
      <w:r>
        <w:rPr>
          <w:b/>
          <w:bCs/>
        </w:rPr>
        <w:t xml:space="preserve">H3.6-8.5</w:t>
      </w:r>
      <w:r>
        <w:t xml:space="preserve">).</w:t>
      </w:r>
    </w:p>
    <w:p>
      <w:r>
        <w:t xml:space="preserve">Three strands are in strong shape: </w:t>
      </w:r>
      <w:r>
        <w:rPr>
          <w:b/>
          <w:bCs/>
          <w:color w:val="C75B2A"/>
        </w:rPr>
        <w:t xml:space="preserve">History</w:t>
      </w:r>
      <w:r>
        <w:t xml:space="preserve"> (your strongest), </w:t>
      </w:r>
      <w:r>
        <w:rPr>
          <w:b/>
          <w:bCs/>
          <w:color w:val="1B2D45"/>
        </w:rPr>
        <w:t xml:space="preserve">Civics</w:t>
      </w:r>
      <w:r>
        <w:t xml:space="preserve"> (Constitution, checks &amp; balances, SCOTUS), and </w:t>
      </w:r>
      <w:r>
        <w:rPr>
          <w:b/>
          <w:bCs/>
          <w:color w:val="6B4C8A"/>
        </w:rPr>
        <w:t xml:space="preserve">Social Studies Skills</w:t>
      </w:r>
      <w:r>
        <w:t xml:space="preserve"> (the Revolution podcast, the Treaty of Greenville CER, and the SCOTUS debate together cover inquiry, reasoning, deliberation, and argument-with-citation). </w:t>
      </w:r>
      <w:r>
        <w:rPr>
          <w:b/>
          <w:bCs/>
          <w:color w:val="4A6741"/>
        </w:rPr>
        <w:t xml:space="preserve">Geography</w:t>
      </w:r>
      <w:r>
        <w:t xml:space="preserve"> is solid through the colonial regions and westward expansion.</w:t>
      </w:r>
    </w:p>
    <w:p>
      <w:r>
        <w:rPr>
          <w:b/>
          <w:bCs/>
        </w:rPr>
        <w:t xml:space="preserve">The headline finding: </w:t>
      </w:r>
      <w:r>
        <w:rPr>
          <w:b/>
          <w:bCs/>
        </w:rPr>
        <w:t xml:space="preserve">Economics is the thinnest strand, and “do-civics” (taking action on a national issue) is the single clearest gap.</w:t>
      </w:r>
      <w:r>
        <w:t xml:space="preserve"> Both are very fixable — mostly by adding an economic lens to units you already teach (Early Republic, Civil War) and by giving your Semester 2 capstone a civic-action structure. Details and project ideas follow.</w:t>
      </w:r>
    </w:p>
    <w:p>
      <w:pPr>
        <w:pStyle w:val="Heading1"/>
      </w:pPr>
      <w:r>
        <w:t xml:space="preserve">Coverage matrix: units × strands</w:t>
      </w:r>
    </w:p>
    <w:p>
      <w:pPr>
        <w:spacing w:after="100"/>
      </w:pPr>
      <w:r>
        <w:rPr>
          <w:i/>
          <w:iCs/>
          <w:color w:val="5C564E"/>
          <w:sz w:val="19"/>
          <w:szCs w:val="19"/>
        </w:rPr>
        <w:t xml:space="preserve">A quick visual of how each unit contributes to each strand at the Grade 8 / U.S. level. Read down a column to see a strand’s overall health; read across a row to see a unit’s reach.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60"/>
        <w:gridCol w:w="1400"/>
        <w:gridCol w:w="1400"/>
        <w:gridCol w:w="1400"/>
        <w:gridCol w:w="1400"/>
        <w:gridCol w:w="1400"/>
      </w:tblGrid>
      <w:tr>
        <w:trPr>
          <w:tblHeader/>
        </w:trPr>
        <w:tc>
          <w:tcPr>
            <w:tcW w:type="dxa" w:w="2360"/>
            <w:tcBorders>
              <w:top w:val="single" w:color="D6CFC3" w:sz="1"/>
              <w:left w:val="single" w:color="D6CFC3" w:sz="1"/>
              <w:bottom w:val="single" w:color="D6CFC3" w:sz="1"/>
              <w:right w:val="single" w:color="D6CFC3" w:sz="1"/>
            </w:tcBorders>
            <w:shd w:fill="1B2D45" w:color="auto" w:val="clear"/>
            <w:tcMar>
              <w:top w:type="dxa" w:w="70"/>
              <w:left w:type="dxa" w:w="110"/>
              <w:bottom w:type="dxa" w:w="70"/>
              <w:right w:type="dxa" w:w="110"/>
            </w:tcMar>
            <w:vAlign w:val="center"/>
          </w:tcPr>
          <w:p>
            <w:pPr>
              <w:jc w:val="left"/>
            </w:pPr>
            <w:r>
              <w:rPr>
                <w:b/>
                <w:bCs/>
                <w:color w:val="FFFFFF"/>
                <w:sz w:val="19"/>
                <w:szCs w:val="19"/>
              </w:rPr>
              <w:t xml:space="preserve">Unit</w:t>
            </w:r>
          </w:p>
        </w:tc>
        <w:tc>
          <w:tcPr>
            <w:tcW w:type="dxa" w:w="1400"/>
            <w:tcBorders>
              <w:top w:val="single" w:color="D6CFC3" w:sz="1"/>
              <w:left w:val="single" w:color="D6CFC3" w:sz="1"/>
              <w:bottom w:val="single" w:color="D6CFC3" w:sz="1"/>
              <w:right w:val="single" w:color="D6CFC3" w:sz="1"/>
            </w:tcBorders>
            <w:shd w:fill="1B2D45" w:color="auto" w:val="clear"/>
            <w:tcMar>
              <w:top w:type="dxa" w:w="70"/>
              <w:left w:type="dxa" w:w="110"/>
              <w:bottom w:type="dxa" w:w="70"/>
              <w:right w:type="dxa" w:w="110"/>
            </w:tcMar>
            <w:vAlign w:val="center"/>
          </w:tcPr>
          <w:p>
            <w:pPr>
              <w:jc w:val="center"/>
            </w:pPr>
            <w:r>
              <w:rPr>
                <w:b/>
                <w:bCs/>
                <w:color w:val="FFFFFF"/>
                <w:sz w:val="19"/>
                <w:szCs w:val="19"/>
              </w:rPr>
              <w:t xml:space="preserve">Civics</w:t>
            </w:r>
          </w:p>
        </w:tc>
        <w:tc>
          <w:tcPr>
            <w:tcW w:type="dxa" w:w="1400"/>
            <w:tcBorders>
              <w:top w:val="single" w:color="D6CFC3" w:sz="1"/>
              <w:left w:val="single" w:color="D6CFC3" w:sz="1"/>
              <w:bottom w:val="single" w:color="D6CFC3" w:sz="1"/>
              <w:right w:val="single" w:color="D6CFC3" w:sz="1"/>
            </w:tcBorders>
            <w:shd w:fill="1B2D45" w:color="auto" w:val="clear"/>
            <w:tcMar>
              <w:top w:type="dxa" w:w="70"/>
              <w:left w:type="dxa" w:w="110"/>
              <w:bottom w:type="dxa" w:w="70"/>
              <w:right w:type="dxa" w:w="110"/>
            </w:tcMar>
            <w:vAlign w:val="center"/>
          </w:tcPr>
          <w:p>
            <w:pPr>
              <w:jc w:val="center"/>
            </w:pPr>
            <w:r>
              <w:rPr>
                <w:b/>
                <w:bCs/>
                <w:color w:val="FFFFFF"/>
                <w:sz w:val="19"/>
                <w:szCs w:val="19"/>
              </w:rPr>
              <w:t xml:space="preserve">Econ</w:t>
            </w:r>
          </w:p>
        </w:tc>
        <w:tc>
          <w:tcPr>
            <w:tcW w:type="dxa" w:w="1400"/>
            <w:tcBorders>
              <w:top w:val="single" w:color="D6CFC3" w:sz="1"/>
              <w:left w:val="single" w:color="D6CFC3" w:sz="1"/>
              <w:bottom w:val="single" w:color="D6CFC3" w:sz="1"/>
              <w:right w:val="single" w:color="D6CFC3" w:sz="1"/>
            </w:tcBorders>
            <w:shd w:fill="1B2D45" w:color="auto" w:val="clear"/>
            <w:tcMar>
              <w:top w:type="dxa" w:w="70"/>
              <w:left w:type="dxa" w:w="110"/>
              <w:bottom w:type="dxa" w:w="70"/>
              <w:right w:type="dxa" w:w="110"/>
            </w:tcMar>
            <w:vAlign w:val="center"/>
          </w:tcPr>
          <w:p>
            <w:pPr>
              <w:jc w:val="center"/>
            </w:pPr>
            <w:r>
              <w:rPr>
                <w:b/>
                <w:bCs/>
                <w:color w:val="FFFFFF"/>
                <w:sz w:val="19"/>
                <w:szCs w:val="19"/>
              </w:rPr>
              <w:t xml:space="preserve">Geog</w:t>
            </w:r>
          </w:p>
        </w:tc>
        <w:tc>
          <w:tcPr>
            <w:tcW w:type="dxa" w:w="1400"/>
            <w:tcBorders>
              <w:top w:val="single" w:color="D6CFC3" w:sz="1"/>
              <w:left w:val="single" w:color="D6CFC3" w:sz="1"/>
              <w:bottom w:val="single" w:color="D6CFC3" w:sz="1"/>
              <w:right w:val="single" w:color="D6CFC3" w:sz="1"/>
            </w:tcBorders>
            <w:shd w:fill="1B2D45" w:color="auto" w:val="clear"/>
            <w:tcMar>
              <w:top w:type="dxa" w:w="70"/>
              <w:left w:type="dxa" w:w="110"/>
              <w:bottom w:type="dxa" w:w="70"/>
              <w:right w:type="dxa" w:w="110"/>
            </w:tcMar>
            <w:vAlign w:val="center"/>
          </w:tcPr>
          <w:p>
            <w:pPr>
              <w:jc w:val="center"/>
            </w:pPr>
            <w:r>
              <w:rPr>
                <w:b/>
                <w:bCs/>
                <w:color w:val="FFFFFF"/>
                <w:sz w:val="19"/>
                <w:szCs w:val="19"/>
              </w:rPr>
              <w:t xml:space="preserve">History</w:t>
            </w:r>
          </w:p>
        </w:tc>
        <w:tc>
          <w:tcPr>
            <w:tcW w:type="dxa" w:w="1400"/>
            <w:tcBorders>
              <w:top w:val="single" w:color="D6CFC3" w:sz="1"/>
              <w:left w:val="single" w:color="D6CFC3" w:sz="1"/>
              <w:bottom w:val="single" w:color="D6CFC3" w:sz="1"/>
              <w:right w:val="single" w:color="D6CFC3" w:sz="1"/>
            </w:tcBorders>
            <w:shd w:fill="1B2D45" w:color="auto" w:val="clear"/>
            <w:tcMar>
              <w:top w:type="dxa" w:w="70"/>
              <w:left w:type="dxa" w:w="110"/>
              <w:bottom w:type="dxa" w:w="70"/>
              <w:right w:type="dxa" w:w="110"/>
            </w:tcMar>
            <w:vAlign w:val="center"/>
          </w:tcPr>
          <w:p>
            <w:pPr>
              <w:jc w:val="center"/>
            </w:pPr>
            <w:r>
              <w:rPr>
                <w:b/>
                <w:bCs/>
                <w:color w:val="FFFFFF"/>
                <w:sz w:val="19"/>
                <w:szCs w:val="19"/>
              </w:rPr>
              <w:t xml:space="preserve">Skills</w:t>
            </w:r>
          </w:p>
        </w:tc>
      </w:tr>
      <w:tr>
        <w:tc>
          <w:tcPr>
            <w:tcW w:type="dxa" w:w="2360"/>
            <w:tcBorders>
              <w:top w:val="single" w:color="D6CFC3" w:sz="1"/>
              <w:left w:val="single" w:color="D6CFC3" w:sz="1"/>
              <w:bottom w:val="single" w:color="D6CFC3" w:sz="1"/>
              <w:right w:val="single" w:color="D6CFC3" w:sz="1"/>
            </w:tcBorders>
            <w:shd w:fill="F5F0E8" w:color="auto" w:val="clear"/>
            <w:tcMar>
              <w:top w:type="dxa" w:w="70"/>
              <w:left w:type="dxa" w:w="110"/>
              <w:bottom w:type="dxa" w:w="70"/>
              <w:right w:type="dxa" w:w="110"/>
            </w:tcMar>
            <w:vAlign w:val="center"/>
          </w:tcPr>
          <w:p>
            <w:r>
              <w:rPr>
                <w:b/>
                <w:bCs/>
                <w:color w:val="1B2D45"/>
                <w:sz w:val="19"/>
                <w:szCs w:val="19"/>
              </w:rPr>
              <w:t xml:space="preserve">Intro — Who Are We?</w:t>
            </w:r>
          </w:p>
        </w:tc>
        <w:tc>
          <w:tcPr>
            <w:tcW w:type="dxa" w:w="1400"/>
            <w:tcBorders>
              <w:top w:val="single" w:color="D6CFC3" w:sz="1"/>
              <w:left w:val="single" w:color="D6CFC3" w:sz="1"/>
              <w:bottom w:val="single" w:color="D6CFC3" w:sz="1"/>
              <w:right w:val="single" w:color="D6CFC3" w:sz="1"/>
            </w:tcBorders>
            <w:shd w:fill="FBF1DD" w:color="auto" w:val="clear"/>
            <w:tcMar>
              <w:top w:type="dxa" w:w="70"/>
              <w:left w:type="dxa" w:w="110"/>
              <w:bottom w:type="dxa" w:w="70"/>
              <w:right w:type="dxa" w:w="110"/>
            </w:tcMar>
            <w:vAlign w:val="center"/>
          </w:tcPr>
          <w:p>
            <w:pPr>
              <w:jc w:val="center"/>
            </w:pPr>
            <w:r>
              <w:rPr>
                <w:b/>
                <w:bCs/>
                <w:color w:val="B8893B"/>
                <w:sz w:val="22"/>
                <w:szCs w:val="22"/>
              </w:rPr>
              <w:t xml:space="preserve">◐</w:t>
            </w:r>
          </w:p>
        </w:tc>
        <w:tc>
          <w:tcPr>
            <w:tcW w:type="dxa" w:w="1400"/>
            <w:tcBorders>
              <w:top w:val="single" w:color="D6CFC3" w:sz="1"/>
              <w:left w:val="single" w:color="D6CFC3" w:sz="1"/>
              <w:bottom w:val="single" w:color="D6CFC3" w:sz="1"/>
              <w:right w:val="single" w:color="D6CFC3" w:sz="1"/>
            </w:tcBorders>
            <w:tcMar>
              <w:top w:type="dxa" w:w="70"/>
              <w:left w:type="dxa" w:w="110"/>
              <w:bottom w:type="dxa" w:w="70"/>
              <w:right w:type="dxa" w:w="110"/>
            </w:tcMar>
            <w:vAlign w:val="center"/>
          </w:tcPr>
          <w:p>
            <w:pPr>
              <w:jc w:val="center"/>
            </w:pPr>
            <w:r>
              <w:rPr>
                <w:b/>
                <w:bCs/>
                <w:color w:val="5C564E"/>
                <w:sz w:val="22"/>
                <w:szCs w:val="22"/>
              </w:rPr>
              <w:t xml:space="preserve">–</w:t>
            </w:r>
          </w:p>
        </w:tc>
        <w:tc>
          <w:tcPr>
            <w:tcW w:type="dxa" w:w="1400"/>
            <w:tcBorders>
              <w:top w:val="single" w:color="D6CFC3" w:sz="1"/>
              <w:left w:val="single" w:color="D6CFC3" w:sz="1"/>
              <w:bottom w:val="single" w:color="D6CFC3" w:sz="1"/>
              <w:right w:val="single" w:color="D6CFC3" w:sz="1"/>
            </w:tcBorders>
            <w:tcMar>
              <w:top w:type="dxa" w:w="70"/>
              <w:left w:type="dxa" w:w="110"/>
              <w:bottom w:type="dxa" w:w="70"/>
              <w:right w:type="dxa" w:w="110"/>
            </w:tcMar>
            <w:vAlign w:val="center"/>
          </w:tcPr>
          <w:p>
            <w:pPr>
              <w:jc w:val="center"/>
            </w:pPr>
            <w:r>
              <w:rPr>
                <w:b/>
                <w:bCs/>
                <w:color w:val="5C564E"/>
                <w:sz w:val="22"/>
                <w:szCs w:val="22"/>
              </w:rPr>
              <w:t xml:space="preserve">–</w:t>
            </w:r>
          </w:p>
        </w:tc>
        <w:tc>
          <w:tcPr>
            <w:tcW w:type="dxa" w:w="1400"/>
            <w:tcBorders>
              <w:top w:val="single" w:color="D6CFC3" w:sz="1"/>
              <w:left w:val="single" w:color="D6CFC3" w:sz="1"/>
              <w:bottom w:val="single" w:color="D6CFC3" w:sz="1"/>
              <w:right w:val="single" w:color="D6CFC3" w:sz="1"/>
            </w:tcBorders>
            <w:shd w:fill="FBF1DD" w:color="auto" w:val="clear"/>
            <w:tcMar>
              <w:top w:type="dxa" w:w="70"/>
              <w:left w:type="dxa" w:w="110"/>
              <w:bottom w:type="dxa" w:w="70"/>
              <w:right w:type="dxa" w:w="110"/>
            </w:tcMar>
            <w:vAlign w:val="center"/>
          </w:tcPr>
          <w:p>
            <w:pPr>
              <w:jc w:val="center"/>
            </w:pPr>
            <w:r>
              <w:rPr>
                <w:b/>
                <w:bCs/>
                <w:color w:val="B8893B"/>
                <w:sz w:val="22"/>
                <w:szCs w:val="22"/>
              </w:rPr>
              <w:t xml:space="preserve">◐</w:t>
            </w:r>
          </w:p>
        </w:tc>
        <w:tc>
          <w:tcPr>
            <w:tcW w:type="dxa" w:w="1400"/>
            <w:tcBorders>
              <w:top w:val="single" w:color="D6CFC3" w:sz="1"/>
              <w:left w:val="single" w:color="D6CFC3" w:sz="1"/>
              <w:bottom w:val="single" w:color="D6CFC3" w:sz="1"/>
              <w:right w:val="single" w:color="D6CFC3" w:sz="1"/>
            </w:tcBorders>
            <w:shd w:fill="E3ECDF" w:color="auto" w:val="clear"/>
            <w:tcMar>
              <w:top w:type="dxa" w:w="70"/>
              <w:left w:type="dxa" w:w="110"/>
              <w:bottom w:type="dxa" w:w="70"/>
              <w:right w:type="dxa" w:w="110"/>
            </w:tcMar>
            <w:vAlign w:val="center"/>
          </w:tcPr>
          <w:p>
            <w:pPr>
              <w:jc w:val="center"/>
            </w:pPr>
            <w:r>
              <w:rPr>
                <w:b/>
                <w:bCs/>
                <w:color w:val="4A6741"/>
                <w:sz w:val="22"/>
                <w:szCs w:val="22"/>
              </w:rPr>
              <w:t xml:space="preserve">●</w:t>
            </w:r>
          </w:p>
        </w:tc>
      </w:tr>
      <w:tr>
        <w:tc>
          <w:tcPr>
            <w:tcW w:type="dxa" w:w="2360"/>
            <w:tcBorders>
              <w:top w:val="single" w:color="D6CFC3" w:sz="1"/>
              <w:left w:val="single" w:color="D6CFC3" w:sz="1"/>
              <w:bottom w:val="single" w:color="D6CFC3" w:sz="1"/>
              <w:right w:val="single" w:color="D6CFC3" w:sz="1"/>
            </w:tcBorders>
            <w:shd w:fill="FFFFFF" w:color="auto" w:val="clear"/>
            <w:tcMar>
              <w:top w:type="dxa" w:w="70"/>
              <w:left w:type="dxa" w:w="110"/>
              <w:bottom w:type="dxa" w:w="70"/>
              <w:right w:type="dxa" w:w="110"/>
            </w:tcMar>
            <w:vAlign w:val="center"/>
          </w:tcPr>
          <w:p>
            <w:r>
              <w:rPr>
                <w:b/>
                <w:bCs/>
                <w:color w:val="1B2D45"/>
                <w:sz w:val="19"/>
                <w:szCs w:val="19"/>
              </w:rPr>
              <w:t xml:space="preserve">1 — 13 Colonies</w:t>
            </w:r>
          </w:p>
        </w:tc>
        <w:tc>
          <w:tcPr>
            <w:tcW w:type="dxa" w:w="1400"/>
            <w:tcBorders>
              <w:top w:val="single" w:color="D6CFC3" w:sz="1"/>
              <w:left w:val="single" w:color="D6CFC3" w:sz="1"/>
              <w:bottom w:val="single" w:color="D6CFC3" w:sz="1"/>
              <w:right w:val="single" w:color="D6CFC3" w:sz="1"/>
            </w:tcBorders>
            <w:tcMar>
              <w:top w:type="dxa" w:w="70"/>
              <w:left w:type="dxa" w:w="110"/>
              <w:bottom w:type="dxa" w:w="70"/>
              <w:right w:type="dxa" w:w="110"/>
            </w:tcMar>
            <w:vAlign w:val="center"/>
          </w:tcPr>
          <w:p>
            <w:pPr>
              <w:jc w:val="center"/>
            </w:pPr>
            <w:r>
              <w:rPr>
                <w:b/>
                <w:bCs/>
                <w:color w:val="5C564E"/>
                <w:sz w:val="22"/>
                <w:szCs w:val="22"/>
              </w:rPr>
              <w:t xml:space="preserve">–</w:t>
            </w:r>
          </w:p>
        </w:tc>
        <w:tc>
          <w:tcPr>
            <w:tcW w:type="dxa" w:w="1400"/>
            <w:tcBorders>
              <w:top w:val="single" w:color="D6CFC3" w:sz="1"/>
              <w:left w:val="single" w:color="D6CFC3" w:sz="1"/>
              <w:bottom w:val="single" w:color="D6CFC3" w:sz="1"/>
              <w:right w:val="single" w:color="D6CFC3" w:sz="1"/>
            </w:tcBorders>
            <w:shd w:fill="E3ECDF" w:color="auto" w:val="clear"/>
            <w:tcMar>
              <w:top w:type="dxa" w:w="70"/>
              <w:left w:type="dxa" w:w="110"/>
              <w:bottom w:type="dxa" w:w="70"/>
              <w:right w:type="dxa" w:w="110"/>
            </w:tcMar>
            <w:vAlign w:val="center"/>
          </w:tcPr>
          <w:p>
            <w:pPr>
              <w:jc w:val="center"/>
            </w:pPr>
            <w:r>
              <w:rPr>
                <w:b/>
                <w:bCs/>
                <w:color w:val="4A6741"/>
                <w:sz w:val="22"/>
                <w:szCs w:val="22"/>
              </w:rPr>
              <w:t xml:space="preserve">●</w:t>
            </w:r>
          </w:p>
        </w:tc>
        <w:tc>
          <w:tcPr>
            <w:tcW w:type="dxa" w:w="1400"/>
            <w:tcBorders>
              <w:top w:val="single" w:color="D6CFC3" w:sz="1"/>
              <w:left w:val="single" w:color="D6CFC3" w:sz="1"/>
              <w:bottom w:val="single" w:color="D6CFC3" w:sz="1"/>
              <w:right w:val="single" w:color="D6CFC3" w:sz="1"/>
            </w:tcBorders>
            <w:shd w:fill="E3ECDF" w:color="auto" w:val="clear"/>
            <w:tcMar>
              <w:top w:type="dxa" w:w="70"/>
              <w:left w:type="dxa" w:w="110"/>
              <w:bottom w:type="dxa" w:w="70"/>
              <w:right w:type="dxa" w:w="110"/>
            </w:tcMar>
            <w:vAlign w:val="center"/>
          </w:tcPr>
          <w:p>
            <w:pPr>
              <w:jc w:val="center"/>
            </w:pPr>
            <w:r>
              <w:rPr>
                <w:b/>
                <w:bCs/>
                <w:color w:val="4A6741"/>
                <w:sz w:val="22"/>
                <w:szCs w:val="22"/>
              </w:rPr>
              <w:t xml:space="preserve">●</w:t>
            </w:r>
          </w:p>
        </w:tc>
        <w:tc>
          <w:tcPr>
            <w:tcW w:type="dxa" w:w="1400"/>
            <w:tcBorders>
              <w:top w:val="single" w:color="D6CFC3" w:sz="1"/>
              <w:left w:val="single" w:color="D6CFC3" w:sz="1"/>
              <w:bottom w:val="single" w:color="D6CFC3" w:sz="1"/>
              <w:right w:val="single" w:color="D6CFC3" w:sz="1"/>
            </w:tcBorders>
            <w:shd w:fill="E3ECDF" w:color="auto" w:val="clear"/>
            <w:tcMar>
              <w:top w:type="dxa" w:w="70"/>
              <w:left w:type="dxa" w:w="110"/>
              <w:bottom w:type="dxa" w:w="70"/>
              <w:right w:type="dxa" w:w="110"/>
            </w:tcMar>
            <w:vAlign w:val="center"/>
          </w:tcPr>
          <w:p>
            <w:pPr>
              <w:jc w:val="center"/>
            </w:pPr>
            <w:r>
              <w:rPr>
                <w:b/>
                <w:bCs/>
                <w:color w:val="4A6741"/>
                <w:sz w:val="22"/>
                <w:szCs w:val="22"/>
              </w:rPr>
              <w:t xml:space="preserve">●</w:t>
            </w:r>
          </w:p>
        </w:tc>
        <w:tc>
          <w:tcPr>
            <w:tcW w:type="dxa" w:w="1400"/>
            <w:tcBorders>
              <w:top w:val="single" w:color="D6CFC3" w:sz="1"/>
              <w:left w:val="single" w:color="D6CFC3" w:sz="1"/>
              <w:bottom w:val="single" w:color="D6CFC3" w:sz="1"/>
              <w:right w:val="single" w:color="D6CFC3" w:sz="1"/>
            </w:tcBorders>
            <w:shd w:fill="FBF1DD" w:color="auto" w:val="clear"/>
            <w:tcMar>
              <w:top w:type="dxa" w:w="70"/>
              <w:left w:type="dxa" w:w="110"/>
              <w:bottom w:type="dxa" w:w="70"/>
              <w:right w:type="dxa" w:w="110"/>
            </w:tcMar>
            <w:vAlign w:val="center"/>
          </w:tcPr>
          <w:p>
            <w:pPr>
              <w:jc w:val="center"/>
            </w:pPr>
            <w:r>
              <w:rPr>
                <w:b/>
                <w:bCs/>
                <w:color w:val="B8893B"/>
                <w:sz w:val="22"/>
                <w:szCs w:val="22"/>
              </w:rPr>
              <w:t xml:space="preserve">◐</w:t>
            </w:r>
          </w:p>
        </w:tc>
      </w:tr>
      <w:tr>
        <w:tc>
          <w:tcPr>
            <w:tcW w:type="dxa" w:w="2360"/>
            <w:tcBorders>
              <w:top w:val="single" w:color="D6CFC3" w:sz="1"/>
              <w:left w:val="single" w:color="D6CFC3" w:sz="1"/>
              <w:bottom w:val="single" w:color="D6CFC3" w:sz="1"/>
              <w:right w:val="single" w:color="D6CFC3" w:sz="1"/>
            </w:tcBorders>
            <w:shd w:fill="F5F0E8" w:color="auto" w:val="clear"/>
            <w:tcMar>
              <w:top w:type="dxa" w:w="70"/>
              <w:left w:type="dxa" w:w="110"/>
              <w:bottom w:type="dxa" w:w="70"/>
              <w:right w:type="dxa" w:w="110"/>
            </w:tcMar>
            <w:vAlign w:val="center"/>
          </w:tcPr>
          <w:p>
            <w:r>
              <w:rPr>
                <w:b/>
                <w:bCs/>
                <w:color w:val="1B2D45"/>
                <w:sz w:val="19"/>
                <w:szCs w:val="19"/>
              </w:rPr>
              <w:t xml:space="preserve">2 — Road to Revolution</w:t>
            </w:r>
          </w:p>
        </w:tc>
        <w:tc>
          <w:tcPr>
            <w:tcW w:type="dxa" w:w="1400"/>
            <w:tcBorders>
              <w:top w:val="single" w:color="D6CFC3" w:sz="1"/>
              <w:left w:val="single" w:color="D6CFC3" w:sz="1"/>
              <w:bottom w:val="single" w:color="D6CFC3" w:sz="1"/>
              <w:right w:val="single" w:color="D6CFC3" w:sz="1"/>
            </w:tcBorders>
            <w:shd w:fill="E3ECDF" w:color="auto" w:val="clear"/>
            <w:tcMar>
              <w:top w:type="dxa" w:w="70"/>
              <w:left w:type="dxa" w:w="110"/>
              <w:bottom w:type="dxa" w:w="70"/>
              <w:right w:type="dxa" w:w="110"/>
            </w:tcMar>
            <w:vAlign w:val="center"/>
          </w:tcPr>
          <w:p>
            <w:pPr>
              <w:jc w:val="center"/>
            </w:pPr>
            <w:r>
              <w:rPr>
                <w:b/>
                <w:bCs/>
                <w:color w:val="4A6741"/>
                <w:sz w:val="22"/>
                <w:szCs w:val="22"/>
              </w:rPr>
              <w:t xml:space="preserve">●</w:t>
            </w:r>
          </w:p>
        </w:tc>
        <w:tc>
          <w:tcPr>
            <w:tcW w:type="dxa" w:w="1400"/>
            <w:tcBorders>
              <w:top w:val="single" w:color="D6CFC3" w:sz="1"/>
              <w:left w:val="single" w:color="D6CFC3" w:sz="1"/>
              <w:bottom w:val="single" w:color="D6CFC3" w:sz="1"/>
              <w:right w:val="single" w:color="D6CFC3" w:sz="1"/>
            </w:tcBorders>
            <w:tcMar>
              <w:top w:type="dxa" w:w="70"/>
              <w:left w:type="dxa" w:w="110"/>
              <w:bottom w:type="dxa" w:w="70"/>
              <w:right w:type="dxa" w:w="110"/>
            </w:tcMar>
            <w:vAlign w:val="center"/>
          </w:tcPr>
          <w:p>
            <w:pPr>
              <w:jc w:val="center"/>
            </w:pPr>
            <w:r>
              <w:rPr>
                <w:b/>
                <w:bCs/>
                <w:color w:val="5C564E"/>
                <w:sz w:val="22"/>
                <w:szCs w:val="22"/>
              </w:rPr>
              <w:t xml:space="preserve">–</w:t>
            </w:r>
          </w:p>
        </w:tc>
        <w:tc>
          <w:tcPr>
            <w:tcW w:type="dxa" w:w="1400"/>
            <w:tcBorders>
              <w:top w:val="single" w:color="D6CFC3" w:sz="1"/>
              <w:left w:val="single" w:color="D6CFC3" w:sz="1"/>
              <w:bottom w:val="single" w:color="D6CFC3" w:sz="1"/>
              <w:right w:val="single" w:color="D6CFC3" w:sz="1"/>
            </w:tcBorders>
            <w:tcMar>
              <w:top w:type="dxa" w:w="70"/>
              <w:left w:type="dxa" w:w="110"/>
              <w:bottom w:type="dxa" w:w="70"/>
              <w:right w:type="dxa" w:w="110"/>
            </w:tcMar>
            <w:vAlign w:val="center"/>
          </w:tcPr>
          <w:p>
            <w:pPr>
              <w:jc w:val="center"/>
            </w:pPr>
            <w:r>
              <w:rPr>
                <w:b/>
                <w:bCs/>
                <w:color w:val="5C564E"/>
                <w:sz w:val="22"/>
                <w:szCs w:val="22"/>
              </w:rPr>
              <w:t xml:space="preserve">–</w:t>
            </w:r>
          </w:p>
        </w:tc>
        <w:tc>
          <w:tcPr>
            <w:tcW w:type="dxa" w:w="1400"/>
            <w:tcBorders>
              <w:top w:val="single" w:color="D6CFC3" w:sz="1"/>
              <w:left w:val="single" w:color="D6CFC3" w:sz="1"/>
              <w:bottom w:val="single" w:color="D6CFC3" w:sz="1"/>
              <w:right w:val="single" w:color="D6CFC3" w:sz="1"/>
            </w:tcBorders>
            <w:shd w:fill="E3ECDF" w:color="auto" w:val="clear"/>
            <w:tcMar>
              <w:top w:type="dxa" w:w="70"/>
              <w:left w:type="dxa" w:w="110"/>
              <w:bottom w:type="dxa" w:w="70"/>
              <w:right w:type="dxa" w:w="110"/>
            </w:tcMar>
            <w:vAlign w:val="center"/>
          </w:tcPr>
          <w:p>
            <w:pPr>
              <w:jc w:val="center"/>
            </w:pPr>
            <w:r>
              <w:rPr>
                <w:b/>
                <w:bCs/>
                <w:color w:val="4A6741"/>
                <w:sz w:val="22"/>
                <w:szCs w:val="22"/>
              </w:rPr>
              <w:t xml:space="preserve">●</w:t>
            </w:r>
          </w:p>
        </w:tc>
        <w:tc>
          <w:tcPr>
            <w:tcW w:type="dxa" w:w="1400"/>
            <w:tcBorders>
              <w:top w:val="single" w:color="D6CFC3" w:sz="1"/>
              <w:left w:val="single" w:color="D6CFC3" w:sz="1"/>
              <w:bottom w:val="single" w:color="D6CFC3" w:sz="1"/>
              <w:right w:val="single" w:color="D6CFC3" w:sz="1"/>
            </w:tcBorders>
            <w:shd w:fill="E3ECDF" w:color="auto" w:val="clear"/>
            <w:tcMar>
              <w:top w:type="dxa" w:w="70"/>
              <w:left w:type="dxa" w:w="110"/>
              <w:bottom w:type="dxa" w:w="70"/>
              <w:right w:type="dxa" w:w="110"/>
            </w:tcMar>
            <w:vAlign w:val="center"/>
          </w:tcPr>
          <w:p>
            <w:pPr>
              <w:jc w:val="center"/>
            </w:pPr>
            <w:r>
              <w:rPr>
                <w:b/>
                <w:bCs/>
                <w:color w:val="4A6741"/>
                <w:sz w:val="22"/>
                <w:szCs w:val="22"/>
              </w:rPr>
              <w:t xml:space="preserve">●</w:t>
            </w:r>
          </w:p>
        </w:tc>
      </w:tr>
      <w:tr>
        <w:tc>
          <w:tcPr>
            <w:tcW w:type="dxa" w:w="2360"/>
            <w:tcBorders>
              <w:top w:val="single" w:color="D6CFC3" w:sz="1"/>
              <w:left w:val="single" w:color="D6CFC3" w:sz="1"/>
              <w:bottom w:val="single" w:color="D6CFC3" w:sz="1"/>
              <w:right w:val="single" w:color="D6CFC3" w:sz="1"/>
            </w:tcBorders>
            <w:shd w:fill="FFFFFF" w:color="auto" w:val="clear"/>
            <w:tcMar>
              <w:top w:type="dxa" w:w="70"/>
              <w:left w:type="dxa" w:w="110"/>
              <w:bottom w:type="dxa" w:w="70"/>
              <w:right w:type="dxa" w:w="110"/>
            </w:tcMar>
            <w:vAlign w:val="center"/>
          </w:tcPr>
          <w:p>
            <w:r>
              <w:rPr>
                <w:b/>
                <w:bCs/>
                <w:color w:val="1B2D45"/>
                <w:sz w:val="19"/>
                <w:szCs w:val="19"/>
              </w:rPr>
              <w:t xml:space="preserve">3 — Voices of the Revolution</w:t>
            </w:r>
          </w:p>
        </w:tc>
        <w:tc>
          <w:tcPr>
            <w:tcW w:type="dxa" w:w="1400"/>
            <w:tcBorders>
              <w:top w:val="single" w:color="D6CFC3" w:sz="1"/>
              <w:left w:val="single" w:color="D6CFC3" w:sz="1"/>
              <w:bottom w:val="single" w:color="D6CFC3" w:sz="1"/>
              <w:right w:val="single" w:color="D6CFC3" w:sz="1"/>
            </w:tcBorders>
            <w:shd w:fill="E3ECDF" w:color="auto" w:val="clear"/>
            <w:tcMar>
              <w:top w:type="dxa" w:w="70"/>
              <w:left w:type="dxa" w:w="110"/>
              <w:bottom w:type="dxa" w:w="70"/>
              <w:right w:type="dxa" w:w="110"/>
            </w:tcMar>
            <w:vAlign w:val="center"/>
          </w:tcPr>
          <w:p>
            <w:pPr>
              <w:jc w:val="center"/>
            </w:pPr>
            <w:r>
              <w:rPr>
                <w:b/>
                <w:bCs/>
                <w:color w:val="4A6741"/>
                <w:sz w:val="22"/>
                <w:szCs w:val="22"/>
              </w:rPr>
              <w:t xml:space="preserve">●</w:t>
            </w:r>
          </w:p>
        </w:tc>
        <w:tc>
          <w:tcPr>
            <w:tcW w:type="dxa" w:w="1400"/>
            <w:tcBorders>
              <w:top w:val="single" w:color="D6CFC3" w:sz="1"/>
              <w:left w:val="single" w:color="D6CFC3" w:sz="1"/>
              <w:bottom w:val="single" w:color="D6CFC3" w:sz="1"/>
              <w:right w:val="single" w:color="D6CFC3" w:sz="1"/>
            </w:tcBorders>
            <w:tcMar>
              <w:top w:type="dxa" w:w="70"/>
              <w:left w:type="dxa" w:w="110"/>
              <w:bottom w:type="dxa" w:w="70"/>
              <w:right w:type="dxa" w:w="110"/>
            </w:tcMar>
            <w:vAlign w:val="center"/>
          </w:tcPr>
          <w:p>
            <w:pPr>
              <w:jc w:val="center"/>
            </w:pPr>
            <w:r>
              <w:rPr>
                <w:b/>
                <w:bCs/>
                <w:color w:val="5C564E"/>
                <w:sz w:val="22"/>
                <w:szCs w:val="22"/>
              </w:rPr>
              <w:t xml:space="preserve">–</w:t>
            </w:r>
          </w:p>
        </w:tc>
        <w:tc>
          <w:tcPr>
            <w:tcW w:type="dxa" w:w="1400"/>
            <w:tcBorders>
              <w:top w:val="single" w:color="D6CFC3" w:sz="1"/>
              <w:left w:val="single" w:color="D6CFC3" w:sz="1"/>
              <w:bottom w:val="single" w:color="D6CFC3" w:sz="1"/>
              <w:right w:val="single" w:color="D6CFC3" w:sz="1"/>
            </w:tcBorders>
            <w:tcMar>
              <w:top w:type="dxa" w:w="70"/>
              <w:left w:type="dxa" w:w="110"/>
              <w:bottom w:type="dxa" w:w="70"/>
              <w:right w:type="dxa" w:w="110"/>
            </w:tcMar>
            <w:vAlign w:val="center"/>
          </w:tcPr>
          <w:p>
            <w:pPr>
              <w:jc w:val="center"/>
            </w:pPr>
            <w:r>
              <w:rPr>
                <w:b/>
                <w:bCs/>
                <w:color w:val="5C564E"/>
                <w:sz w:val="22"/>
                <w:szCs w:val="22"/>
              </w:rPr>
              <w:t xml:space="preserve">–</w:t>
            </w:r>
          </w:p>
        </w:tc>
        <w:tc>
          <w:tcPr>
            <w:tcW w:type="dxa" w:w="1400"/>
            <w:tcBorders>
              <w:top w:val="single" w:color="D6CFC3" w:sz="1"/>
              <w:left w:val="single" w:color="D6CFC3" w:sz="1"/>
              <w:bottom w:val="single" w:color="D6CFC3" w:sz="1"/>
              <w:right w:val="single" w:color="D6CFC3" w:sz="1"/>
            </w:tcBorders>
            <w:shd w:fill="E3ECDF" w:color="auto" w:val="clear"/>
            <w:tcMar>
              <w:top w:type="dxa" w:w="70"/>
              <w:left w:type="dxa" w:w="110"/>
              <w:bottom w:type="dxa" w:w="70"/>
              <w:right w:type="dxa" w:w="110"/>
            </w:tcMar>
            <w:vAlign w:val="center"/>
          </w:tcPr>
          <w:p>
            <w:pPr>
              <w:jc w:val="center"/>
            </w:pPr>
            <w:r>
              <w:rPr>
                <w:b/>
                <w:bCs/>
                <w:color w:val="4A6741"/>
                <w:sz w:val="22"/>
                <w:szCs w:val="22"/>
              </w:rPr>
              <w:t xml:space="preserve">●</w:t>
            </w:r>
          </w:p>
        </w:tc>
        <w:tc>
          <w:tcPr>
            <w:tcW w:type="dxa" w:w="1400"/>
            <w:tcBorders>
              <w:top w:val="single" w:color="D6CFC3" w:sz="1"/>
              <w:left w:val="single" w:color="D6CFC3" w:sz="1"/>
              <w:bottom w:val="single" w:color="D6CFC3" w:sz="1"/>
              <w:right w:val="single" w:color="D6CFC3" w:sz="1"/>
            </w:tcBorders>
            <w:shd w:fill="E3ECDF" w:color="auto" w:val="clear"/>
            <w:tcMar>
              <w:top w:type="dxa" w:w="70"/>
              <w:left w:type="dxa" w:w="110"/>
              <w:bottom w:type="dxa" w:w="70"/>
              <w:right w:type="dxa" w:w="110"/>
            </w:tcMar>
            <w:vAlign w:val="center"/>
          </w:tcPr>
          <w:p>
            <w:pPr>
              <w:jc w:val="center"/>
            </w:pPr>
            <w:r>
              <w:rPr>
                <w:b/>
                <w:bCs/>
                <w:color w:val="4A6741"/>
                <w:sz w:val="22"/>
                <w:szCs w:val="22"/>
              </w:rPr>
              <w:t xml:space="preserve">●</w:t>
            </w:r>
          </w:p>
        </w:tc>
      </w:tr>
      <w:tr>
        <w:tc>
          <w:tcPr>
            <w:tcW w:type="dxa" w:w="2360"/>
            <w:tcBorders>
              <w:top w:val="single" w:color="D6CFC3" w:sz="1"/>
              <w:left w:val="single" w:color="D6CFC3" w:sz="1"/>
              <w:bottom w:val="single" w:color="D6CFC3" w:sz="1"/>
              <w:right w:val="single" w:color="D6CFC3" w:sz="1"/>
            </w:tcBorders>
            <w:shd w:fill="F5F0E8" w:color="auto" w:val="clear"/>
            <w:tcMar>
              <w:top w:type="dxa" w:w="70"/>
              <w:left w:type="dxa" w:w="110"/>
              <w:bottom w:type="dxa" w:w="70"/>
              <w:right w:type="dxa" w:w="110"/>
            </w:tcMar>
            <w:vAlign w:val="center"/>
          </w:tcPr>
          <w:p>
            <w:r>
              <w:rPr>
                <w:b/>
                <w:bCs/>
                <w:color w:val="1B2D45"/>
                <w:sz w:val="19"/>
                <w:szCs w:val="19"/>
              </w:rPr>
              <w:t xml:space="preserve">4 — The Constitution</w:t>
            </w:r>
          </w:p>
        </w:tc>
        <w:tc>
          <w:tcPr>
            <w:tcW w:type="dxa" w:w="1400"/>
            <w:tcBorders>
              <w:top w:val="single" w:color="D6CFC3" w:sz="1"/>
              <w:left w:val="single" w:color="D6CFC3" w:sz="1"/>
              <w:bottom w:val="single" w:color="D6CFC3" w:sz="1"/>
              <w:right w:val="single" w:color="D6CFC3" w:sz="1"/>
            </w:tcBorders>
            <w:shd w:fill="E3ECDF" w:color="auto" w:val="clear"/>
            <w:tcMar>
              <w:top w:type="dxa" w:w="70"/>
              <w:left w:type="dxa" w:w="110"/>
              <w:bottom w:type="dxa" w:w="70"/>
              <w:right w:type="dxa" w:w="110"/>
            </w:tcMar>
            <w:vAlign w:val="center"/>
          </w:tcPr>
          <w:p>
            <w:pPr>
              <w:jc w:val="center"/>
            </w:pPr>
            <w:r>
              <w:rPr>
                <w:b/>
                <w:bCs/>
                <w:color w:val="4A6741"/>
                <w:sz w:val="22"/>
                <w:szCs w:val="22"/>
              </w:rPr>
              <w:t xml:space="preserve">●</w:t>
            </w:r>
          </w:p>
        </w:tc>
        <w:tc>
          <w:tcPr>
            <w:tcW w:type="dxa" w:w="1400"/>
            <w:tcBorders>
              <w:top w:val="single" w:color="D6CFC3" w:sz="1"/>
              <w:left w:val="single" w:color="D6CFC3" w:sz="1"/>
              <w:bottom w:val="single" w:color="D6CFC3" w:sz="1"/>
              <w:right w:val="single" w:color="D6CFC3" w:sz="1"/>
            </w:tcBorders>
            <w:tcMar>
              <w:top w:type="dxa" w:w="70"/>
              <w:left w:type="dxa" w:w="110"/>
              <w:bottom w:type="dxa" w:w="70"/>
              <w:right w:type="dxa" w:w="110"/>
            </w:tcMar>
            <w:vAlign w:val="center"/>
          </w:tcPr>
          <w:p>
            <w:pPr>
              <w:jc w:val="center"/>
            </w:pPr>
            <w:r>
              <w:rPr>
                <w:b/>
                <w:bCs/>
                <w:color w:val="5C564E"/>
                <w:sz w:val="22"/>
                <w:szCs w:val="22"/>
              </w:rPr>
              <w:t xml:space="preserve">–</w:t>
            </w:r>
          </w:p>
        </w:tc>
        <w:tc>
          <w:tcPr>
            <w:tcW w:type="dxa" w:w="1400"/>
            <w:tcBorders>
              <w:top w:val="single" w:color="D6CFC3" w:sz="1"/>
              <w:left w:val="single" w:color="D6CFC3" w:sz="1"/>
              <w:bottom w:val="single" w:color="D6CFC3" w:sz="1"/>
              <w:right w:val="single" w:color="D6CFC3" w:sz="1"/>
            </w:tcBorders>
            <w:tcMar>
              <w:top w:type="dxa" w:w="70"/>
              <w:left w:type="dxa" w:w="110"/>
              <w:bottom w:type="dxa" w:w="70"/>
              <w:right w:type="dxa" w:w="110"/>
            </w:tcMar>
            <w:vAlign w:val="center"/>
          </w:tcPr>
          <w:p>
            <w:pPr>
              <w:jc w:val="center"/>
            </w:pPr>
            <w:r>
              <w:rPr>
                <w:b/>
                <w:bCs/>
                <w:color w:val="5C564E"/>
                <w:sz w:val="22"/>
                <w:szCs w:val="22"/>
              </w:rPr>
              <w:t xml:space="preserve">–</w:t>
            </w:r>
          </w:p>
        </w:tc>
        <w:tc>
          <w:tcPr>
            <w:tcW w:type="dxa" w:w="1400"/>
            <w:tcBorders>
              <w:top w:val="single" w:color="D6CFC3" w:sz="1"/>
              <w:left w:val="single" w:color="D6CFC3" w:sz="1"/>
              <w:bottom w:val="single" w:color="D6CFC3" w:sz="1"/>
              <w:right w:val="single" w:color="D6CFC3" w:sz="1"/>
            </w:tcBorders>
            <w:shd w:fill="FBF1DD" w:color="auto" w:val="clear"/>
            <w:tcMar>
              <w:top w:type="dxa" w:w="70"/>
              <w:left w:type="dxa" w:w="110"/>
              <w:bottom w:type="dxa" w:w="70"/>
              <w:right w:type="dxa" w:w="110"/>
            </w:tcMar>
            <w:vAlign w:val="center"/>
          </w:tcPr>
          <w:p>
            <w:pPr>
              <w:jc w:val="center"/>
            </w:pPr>
            <w:r>
              <w:rPr>
                <w:b/>
                <w:bCs/>
                <w:color w:val="B8893B"/>
                <w:sz w:val="22"/>
                <w:szCs w:val="22"/>
              </w:rPr>
              <w:t xml:space="preserve">◐</w:t>
            </w:r>
          </w:p>
        </w:tc>
        <w:tc>
          <w:tcPr>
            <w:tcW w:type="dxa" w:w="1400"/>
            <w:tcBorders>
              <w:top w:val="single" w:color="D6CFC3" w:sz="1"/>
              <w:left w:val="single" w:color="D6CFC3" w:sz="1"/>
              <w:bottom w:val="single" w:color="D6CFC3" w:sz="1"/>
              <w:right w:val="single" w:color="D6CFC3" w:sz="1"/>
            </w:tcBorders>
            <w:shd w:fill="FBF1DD" w:color="auto" w:val="clear"/>
            <w:tcMar>
              <w:top w:type="dxa" w:w="70"/>
              <w:left w:type="dxa" w:w="110"/>
              <w:bottom w:type="dxa" w:w="70"/>
              <w:right w:type="dxa" w:w="110"/>
            </w:tcMar>
            <w:vAlign w:val="center"/>
          </w:tcPr>
          <w:p>
            <w:pPr>
              <w:jc w:val="center"/>
            </w:pPr>
            <w:r>
              <w:rPr>
                <w:b/>
                <w:bCs/>
                <w:color w:val="B8893B"/>
                <w:sz w:val="22"/>
                <w:szCs w:val="22"/>
              </w:rPr>
              <w:t xml:space="preserve">◐</w:t>
            </w:r>
          </w:p>
        </w:tc>
      </w:tr>
      <w:tr>
        <w:tc>
          <w:tcPr>
            <w:tcW w:type="dxa" w:w="2360"/>
            <w:tcBorders>
              <w:top w:val="single" w:color="D6CFC3" w:sz="1"/>
              <w:left w:val="single" w:color="D6CFC3" w:sz="1"/>
              <w:bottom w:val="single" w:color="D6CFC3" w:sz="1"/>
              <w:right w:val="single" w:color="D6CFC3" w:sz="1"/>
            </w:tcBorders>
            <w:shd w:fill="FFFFFF" w:color="auto" w:val="clear"/>
            <w:tcMar>
              <w:top w:type="dxa" w:w="70"/>
              <w:left w:type="dxa" w:w="110"/>
              <w:bottom w:type="dxa" w:w="70"/>
              <w:right w:type="dxa" w:w="110"/>
            </w:tcMar>
            <w:vAlign w:val="center"/>
          </w:tcPr>
          <w:p>
            <w:r>
              <w:rPr>
                <w:b/>
                <w:bCs/>
                <w:color w:val="1B2D45"/>
                <w:sz w:val="19"/>
                <w:szCs w:val="19"/>
              </w:rPr>
              <w:t xml:space="preserve">5 — Checks &amp; Balances</w:t>
            </w:r>
          </w:p>
        </w:tc>
        <w:tc>
          <w:tcPr>
            <w:tcW w:type="dxa" w:w="1400"/>
            <w:tcBorders>
              <w:top w:val="single" w:color="D6CFC3" w:sz="1"/>
              <w:left w:val="single" w:color="D6CFC3" w:sz="1"/>
              <w:bottom w:val="single" w:color="D6CFC3" w:sz="1"/>
              <w:right w:val="single" w:color="D6CFC3" w:sz="1"/>
            </w:tcBorders>
            <w:shd w:fill="E3ECDF" w:color="auto" w:val="clear"/>
            <w:tcMar>
              <w:top w:type="dxa" w:w="70"/>
              <w:left w:type="dxa" w:w="110"/>
              <w:bottom w:type="dxa" w:w="70"/>
              <w:right w:type="dxa" w:w="110"/>
            </w:tcMar>
            <w:vAlign w:val="center"/>
          </w:tcPr>
          <w:p>
            <w:pPr>
              <w:jc w:val="center"/>
            </w:pPr>
            <w:r>
              <w:rPr>
                <w:b/>
                <w:bCs/>
                <w:color w:val="4A6741"/>
                <w:sz w:val="22"/>
                <w:szCs w:val="22"/>
              </w:rPr>
              <w:t xml:space="preserve">●</w:t>
            </w:r>
          </w:p>
        </w:tc>
        <w:tc>
          <w:tcPr>
            <w:tcW w:type="dxa" w:w="1400"/>
            <w:tcBorders>
              <w:top w:val="single" w:color="D6CFC3" w:sz="1"/>
              <w:left w:val="single" w:color="D6CFC3" w:sz="1"/>
              <w:bottom w:val="single" w:color="D6CFC3" w:sz="1"/>
              <w:right w:val="single" w:color="D6CFC3" w:sz="1"/>
            </w:tcBorders>
            <w:tcMar>
              <w:top w:type="dxa" w:w="70"/>
              <w:left w:type="dxa" w:w="110"/>
              <w:bottom w:type="dxa" w:w="70"/>
              <w:right w:type="dxa" w:w="110"/>
            </w:tcMar>
            <w:vAlign w:val="center"/>
          </w:tcPr>
          <w:p>
            <w:pPr>
              <w:jc w:val="center"/>
            </w:pPr>
            <w:r>
              <w:rPr>
                <w:b/>
                <w:bCs/>
                <w:color w:val="5C564E"/>
                <w:sz w:val="22"/>
                <w:szCs w:val="22"/>
              </w:rPr>
              <w:t xml:space="preserve">–</w:t>
            </w:r>
          </w:p>
        </w:tc>
        <w:tc>
          <w:tcPr>
            <w:tcW w:type="dxa" w:w="1400"/>
            <w:tcBorders>
              <w:top w:val="single" w:color="D6CFC3" w:sz="1"/>
              <w:left w:val="single" w:color="D6CFC3" w:sz="1"/>
              <w:bottom w:val="single" w:color="D6CFC3" w:sz="1"/>
              <w:right w:val="single" w:color="D6CFC3" w:sz="1"/>
            </w:tcBorders>
            <w:tcMar>
              <w:top w:type="dxa" w:w="70"/>
              <w:left w:type="dxa" w:w="110"/>
              <w:bottom w:type="dxa" w:w="70"/>
              <w:right w:type="dxa" w:w="110"/>
            </w:tcMar>
            <w:vAlign w:val="center"/>
          </w:tcPr>
          <w:p>
            <w:pPr>
              <w:jc w:val="center"/>
            </w:pPr>
            <w:r>
              <w:rPr>
                <w:b/>
                <w:bCs/>
                <w:color w:val="5C564E"/>
                <w:sz w:val="22"/>
                <w:szCs w:val="22"/>
              </w:rPr>
              <w:t xml:space="preserve">–</w:t>
            </w:r>
          </w:p>
        </w:tc>
        <w:tc>
          <w:tcPr>
            <w:tcW w:type="dxa" w:w="1400"/>
            <w:tcBorders>
              <w:top w:val="single" w:color="D6CFC3" w:sz="1"/>
              <w:left w:val="single" w:color="D6CFC3" w:sz="1"/>
              <w:bottom w:val="single" w:color="D6CFC3" w:sz="1"/>
              <w:right w:val="single" w:color="D6CFC3" w:sz="1"/>
            </w:tcBorders>
            <w:shd w:fill="FBF1DD" w:color="auto" w:val="clear"/>
            <w:tcMar>
              <w:top w:type="dxa" w:w="70"/>
              <w:left w:type="dxa" w:w="110"/>
              <w:bottom w:type="dxa" w:w="70"/>
              <w:right w:type="dxa" w:w="110"/>
            </w:tcMar>
            <w:vAlign w:val="center"/>
          </w:tcPr>
          <w:p>
            <w:pPr>
              <w:jc w:val="center"/>
            </w:pPr>
            <w:r>
              <w:rPr>
                <w:b/>
                <w:bCs/>
                <w:color w:val="B8893B"/>
                <w:sz w:val="22"/>
                <w:szCs w:val="22"/>
              </w:rPr>
              <w:t xml:space="preserve">◐</w:t>
            </w:r>
          </w:p>
        </w:tc>
        <w:tc>
          <w:tcPr>
            <w:tcW w:type="dxa" w:w="1400"/>
            <w:tcBorders>
              <w:top w:val="single" w:color="D6CFC3" w:sz="1"/>
              <w:left w:val="single" w:color="D6CFC3" w:sz="1"/>
              <w:bottom w:val="single" w:color="D6CFC3" w:sz="1"/>
              <w:right w:val="single" w:color="D6CFC3" w:sz="1"/>
            </w:tcBorders>
            <w:shd w:fill="E3ECDF" w:color="auto" w:val="clear"/>
            <w:tcMar>
              <w:top w:type="dxa" w:w="70"/>
              <w:left w:type="dxa" w:w="110"/>
              <w:bottom w:type="dxa" w:w="70"/>
              <w:right w:type="dxa" w:w="110"/>
            </w:tcMar>
            <w:vAlign w:val="center"/>
          </w:tcPr>
          <w:p>
            <w:pPr>
              <w:jc w:val="center"/>
            </w:pPr>
            <w:r>
              <w:rPr>
                <w:b/>
                <w:bCs/>
                <w:color w:val="4A6741"/>
                <w:sz w:val="22"/>
                <w:szCs w:val="22"/>
              </w:rPr>
              <w:t xml:space="preserve">●</w:t>
            </w:r>
          </w:p>
        </w:tc>
      </w:tr>
      <w:tr>
        <w:tc>
          <w:tcPr>
            <w:tcW w:type="dxa" w:w="2360"/>
            <w:tcBorders>
              <w:top w:val="single" w:color="D6CFC3" w:sz="1"/>
              <w:left w:val="single" w:color="D6CFC3" w:sz="1"/>
              <w:bottom w:val="single" w:color="D6CFC3" w:sz="1"/>
              <w:right w:val="single" w:color="D6CFC3" w:sz="1"/>
            </w:tcBorders>
            <w:shd w:fill="F5F0E8" w:color="auto" w:val="clear"/>
            <w:tcMar>
              <w:top w:type="dxa" w:w="70"/>
              <w:left w:type="dxa" w:w="110"/>
              <w:bottom w:type="dxa" w:w="70"/>
              <w:right w:type="dxa" w:w="110"/>
            </w:tcMar>
            <w:vAlign w:val="center"/>
          </w:tcPr>
          <w:p>
            <w:r>
              <w:rPr>
                <w:b/>
                <w:bCs/>
                <w:color w:val="1B2D45"/>
                <w:sz w:val="19"/>
                <w:szCs w:val="19"/>
              </w:rPr>
              <w:t xml:space="preserve">6 — SCOTUS</w:t>
            </w:r>
          </w:p>
        </w:tc>
        <w:tc>
          <w:tcPr>
            <w:tcW w:type="dxa" w:w="1400"/>
            <w:tcBorders>
              <w:top w:val="single" w:color="D6CFC3" w:sz="1"/>
              <w:left w:val="single" w:color="D6CFC3" w:sz="1"/>
              <w:bottom w:val="single" w:color="D6CFC3" w:sz="1"/>
              <w:right w:val="single" w:color="D6CFC3" w:sz="1"/>
            </w:tcBorders>
            <w:shd w:fill="E3ECDF" w:color="auto" w:val="clear"/>
            <w:tcMar>
              <w:top w:type="dxa" w:w="70"/>
              <w:left w:type="dxa" w:w="110"/>
              <w:bottom w:type="dxa" w:w="70"/>
              <w:right w:type="dxa" w:w="110"/>
            </w:tcMar>
            <w:vAlign w:val="center"/>
          </w:tcPr>
          <w:p>
            <w:pPr>
              <w:jc w:val="center"/>
            </w:pPr>
            <w:r>
              <w:rPr>
                <w:b/>
                <w:bCs/>
                <w:color w:val="4A6741"/>
                <w:sz w:val="22"/>
                <w:szCs w:val="22"/>
              </w:rPr>
              <w:t xml:space="preserve">●</w:t>
            </w:r>
          </w:p>
        </w:tc>
        <w:tc>
          <w:tcPr>
            <w:tcW w:type="dxa" w:w="1400"/>
            <w:tcBorders>
              <w:top w:val="single" w:color="D6CFC3" w:sz="1"/>
              <w:left w:val="single" w:color="D6CFC3" w:sz="1"/>
              <w:bottom w:val="single" w:color="D6CFC3" w:sz="1"/>
              <w:right w:val="single" w:color="D6CFC3" w:sz="1"/>
            </w:tcBorders>
            <w:tcMar>
              <w:top w:type="dxa" w:w="70"/>
              <w:left w:type="dxa" w:w="110"/>
              <w:bottom w:type="dxa" w:w="70"/>
              <w:right w:type="dxa" w:w="110"/>
            </w:tcMar>
            <w:vAlign w:val="center"/>
          </w:tcPr>
          <w:p>
            <w:pPr>
              <w:jc w:val="center"/>
            </w:pPr>
            <w:r>
              <w:rPr>
                <w:b/>
                <w:bCs/>
                <w:color w:val="5C564E"/>
                <w:sz w:val="22"/>
                <w:szCs w:val="22"/>
              </w:rPr>
              <w:t xml:space="preserve">–</w:t>
            </w:r>
          </w:p>
        </w:tc>
        <w:tc>
          <w:tcPr>
            <w:tcW w:type="dxa" w:w="1400"/>
            <w:tcBorders>
              <w:top w:val="single" w:color="D6CFC3" w:sz="1"/>
              <w:left w:val="single" w:color="D6CFC3" w:sz="1"/>
              <w:bottom w:val="single" w:color="D6CFC3" w:sz="1"/>
              <w:right w:val="single" w:color="D6CFC3" w:sz="1"/>
            </w:tcBorders>
            <w:tcMar>
              <w:top w:type="dxa" w:w="70"/>
              <w:left w:type="dxa" w:w="110"/>
              <w:bottom w:type="dxa" w:w="70"/>
              <w:right w:type="dxa" w:w="110"/>
            </w:tcMar>
            <w:vAlign w:val="center"/>
          </w:tcPr>
          <w:p>
            <w:pPr>
              <w:jc w:val="center"/>
            </w:pPr>
            <w:r>
              <w:rPr>
                <w:b/>
                <w:bCs/>
                <w:color w:val="5C564E"/>
                <w:sz w:val="22"/>
                <w:szCs w:val="22"/>
              </w:rPr>
              <w:t xml:space="preserve">–</w:t>
            </w:r>
          </w:p>
        </w:tc>
        <w:tc>
          <w:tcPr>
            <w:tcW w:type="dxa" w:w="1400"/>
            <w:tcBorders>
              <w:top w:val="single" w:color="D6CFC3" w:sz="1"/>
              <w:left w:val="single" w:color="D6CFC3" w:sz="1"/>
              <w:bottom w:val="single" w:color="D6CFC3" w:sz="1"/>
              <w:right w:val="single" w:color="D6CFC3" w:sz="1"/>
            </w:tcBorders>
            <w:shd w:fill="FBF1DD" w:color="auto" w:val="clear"/>
            <w:tcMar>
              <w:top w:type="dxa" w:w="70"/>
              <w:left w:type="dxa" w:w="110"/>
              <w:bottom w:type="dxa" w:w="70"/>
              <w:right w:type="dxa" w:w="110"/>
            </w:tcMar>
            <w:vAlign w:val="center"/>
          </w:tcPr>
          <w:p>
            <w:pPr>
              <w:jc w:val="center"/>
            </w:pPr>
            <w:r>
              <w:rPr>
                <w:b/>
                <w:bCs/>
                <w:color w:val="B8893B"/>
                <w:sz w:val="22"/>
                <w:szCs w:val="22"/>
              </w:rPr>
              <w:t xml:space="preserve">◐</w:t>
            </w:r>
          </w:p>
        </w:tc>
        <w:tc>
          <w:tcPr>
            <w:tcW w:type="dxa" w:w="1400"/>
            <w:tcBorders>
              <w:top w:val="single" w:color="D6CFC3" w:sz="1"/>
              <w:left w:val="single" w:color="D6CFC3" w:sz="1"/>
              <w:bottom w:val="single" w:color="D6CFC3" w:sz="1"/>
              <w:right w:val="single" w:color="D6CFC3" w:sz="1"/>
            </w:tcBorders>
            <w:shd w:fill="E3ECDF" w:color="auto" w:val="clear"/>
            <w:tcMar>
              <w:top w:type="dxa" w:w="70"/>
              <w:left w:type="dxa" w:w="110"/>
              <w:bottom w:type="dxa" w:w="70"/>
              <w:right w:type="dxa" w:w="110"/>
            </w:tcMar>
            <w:vAlign w:val="center"/>
          </w:tcPr>
          <w:p>
            <w:pPr>
              <w:jc w:val="center"/>
            </w:pPr>
            <w:r>
              <w:rPr>
                <w:b/>
                <w:bCs/>
                <w:color w:val="4A6741"/>
                <w:sz w:val="22"/>
                <w:szCs w:val="22"/>
              </w:rPr>
              <w:t xml:space="preserve">●</w:t>
            </w:r>
          </w:p>
        </w:tc>
      </w:tr>
      <w:tr>
        <w:tc>
          <w:tcPr>
            <w:tcW w:type="dxa" w:w="2360"/>
            <w:tcBorders>
              <w:top w:val="single" w:color="D6CFC3" w:sz="1"/>
              <w:left w:val="single" w:color="D6CFC3" w:sz="1"/>
              <w:bottom w:val="single" w:color="D6CFC3" w:sz="1"/>
              <w:right w:val="single" w:color="D6CFC3" w:sz="1"/>
            </w:tcBorders>
            <w:shd w:fill="FFFFFF" w:color="auto" w:val="clear"/>
            <w:tcMar>
              <w:top w:type="dxa" w:w="70"/>
              <w:left w:type="dxa" w:w="110"/>
              <w:bottom w:type="dxa" w:w="70"/>
              <w:right w:type="dxa" w:w="110"/>
            </w:tcMar>
            <w:vAlign w:val="center"/>
          </w:tcPr>
          <w:p>
            <w:r>
              <w:rPr>
                <w:b/>
                <w:bCs/>
                <w:color w:val="1B2D45"/>
                <w:sz w:val="19"/>
                <w:szCs w:val="19"/>
              </w:rPr>
              <w:t xml:space="preserve">7 — The Early Republic</w:t>
            </w:r>
          </w:p>
        </w:tc>
        <w:tc>
          <w:tcPr>
            <w:tcW w:type="dxa" w:w="1400"/>
            <w:tcBorders>
              <w:top w:val="single" w:color="D6CFC3" w:sz="1"/>
              <w:left w:val="single" w:color="D6CFC3" w:sz="1"/>
              <w:bottom w:val="single" w:color="D6CFC3" w:sz="1"/>
              <w:right w:val="single" w:color="D6CFC3" w:sz="1"/>
            </w:tcBorders>
            <w:shd w:fill="E3ECDF" w:color="auto" w:val="clear"/>
            <w:tcMar>
              <w:top w:type="dxa" w:w="70"/>
              <w:left w:type="dxa" w:w="110"/>
              <w:bottom w:type="dxa" w:w="70"/>
              <w:right w:type="dxa" w:w="110"/>
            </w:tcMar>
            <w:vAlign w:val="center"/>
          </w:tcPr>
          <w:p>
            <w:pPr>
              <w:jc w:val="center"/>
            </w:pPr>
            <w:r>
              <w:rPr>
                <w:b/>
                <w:bCs/>
                <w:color w:val="4A6741"/>
                <w:sz w:val="22"/>
                <w:szCs w:val="22"/>
              </w:rPr>
              <w:t xml:space="preserve">●</w:t>
            </w:r>
          </w:p>
        </w:tc>
        <w:tc>
          <w:tcPr>
            <w:tcW w:type="dxa" w:w="1400"/>
            <w:tcBorders>
              <w:top w:val="single" w:color="D6CFC3" w:sz="1"/>
              <w:left w:val="single" w:color="D6CFC3" w:sz="1"/>
              <w:bottom w:val="single" w:color="D6CFC3" w:sz="1"/>
              <w:right w:val="single" w:color="D6CFC3" w:sz="1"/>
            </w:tcBorders>
            <w:shd w:fill="FBF1DD" w:color="auto" w:val="clear"/>
            <w:tcMar>
              <w:top w:type="dxa" w:w="70"/>
              <w:left w:type="dxa" w:w="110"/>
              <w:bottom w:type="dxa" w:w="70"/>
              <w:right w:type="dxa" w:w="110"/>
            </w:tcMar>
            <w:vAlign w:val="center"/>
          </w:tcPr>
          <w:p>
            <w:pPr>
              <w:jc w:val="center"/>
            </w:pPr>
            <w:r>
              <w:rPr>
                <w:b/>
                <w:bCs/>
                <w:color w:val="B8893B"/>
                <w:sz w:val="22"/>
                <w:szCs w:val="22"/>
              </w:rPr>
              <w:t xml:space="preserve">◐</w:t>
            </w:r>
          </w:p>
        </w:tc>
        <w:tc>
          <w:tcPr>
            <w:tcW w:type="dxa" w:w="1400"/>
            <w:tcBorders>
              <w:top w:val="single" w:color="D6CFC3" w:sz="1"/>
              <w:left w:val="single" w:color="D6CFC3" w:sz="1"/>
              <w:bottom w:val="single" w:color="D6CFC3" w:sz="1"/>
              <w:right w:val="single" w:color="D6CFC3" w:sz="1"/>
            </w:tcBorders>
            <w:shd w:fill="FBF1DD" w:color="auto" w:val="clear"/>
            <w:tcMar>
              <w:top w:type="dxa" w:w="70"/>
              <w:left w:type="dxa" w:w="110"/>
              <w:bottom w:type="dxa" w:w="70"/>
              <w:right w:type="dxa" w:w="110"/>
            </w:tcMar>
            <w:vAlign w:val="center"/>
          </w:tcPr>
          <w:p>
            <w:pPr>
              <w:jc w:val="center"/>
            </w:pPr>
            <w:r>
              <w:rPr>
                <w:b/>
                <w:bCs/>
                <w:color w:val="B8893B"/>
                <w:sz w:val="22"/>
                <w:szCs w:val="22"/>
              </w:rPr>
              <w:t xml:space="preserve">◐</w:t>
            </w:r>
          </w:p>
        </w:tc>
        <w:tc>
          <w:tcPr>
            <w:tcW w:type="dxa" w:w="1400"/>
            <w:tcBorders>
              <w:top w:val="single" w:color="D6CFC3" w:sz="1"/>
              <w:left w:val="single" w:color="D6CFC3" w:sz="1"/>
              <w:bottom w:val="single" w:color="D6CFC3" w:sz="1"/>
              <w:right w:val="single" w:color="D6CFC3" w:sz="1"/>
            </w:tcBorders>
            <w:shd w:fill="E3ECDF" w:color="auto" w:val="clear"/>
            <w:tcMar>
              <w:top w:type="dxa" w:w="70"/>
              <w:left w:type="dxa" w:w="110"/>
              <w:bottom w:type="dxa" w:w="70"/>
              <w:right w:type="dxa" w:w="110"/>
            </w:tcMar>
            <w:vAlign w:val="center"/>
          </w:tcPr>
          <w:p>
            <w:pPr>
              <w:jc w:val="center"/>
            </w:pPr>
            <w:r>
              <w:rPr>
                <w:b/>
                <w:bCs/>
                <w:color w:val="4A6741"/>
                <w:sz w:val="22"/>
                <w:szCs w:val="22"/>
              </w:rPr>
              <w:t xml:space="preserve">●</w:t>
            </w:r>
          </w:p>
        </w:tc>
        <w:tc>
          <w:tcPr>
            <w:tcW w:type="dxa" w:w="1400"/>
            <w:tcBorders>
              <w:top w:val="single" w:color="D6CFC3" w:sz="1"/>
              <w:left w:val="single" w:color="D6CFC3" w:sz="1"/>
              <w:bottom w:val="single" w:color="D6CFC3" w:sz="1"/>
              <w:right w:val="single" w:color="D6CFC3" w:sz="1"/>
            </w:tcBorders>
            <w:shd w:fill="FBF1DD" w:color="auto" w:val="clear"/>
            <w:tcMar>
              <w:top w:type="dxa" w:w="70"/>
              <w:left w:type="dxa" w:w="110"/>
              <w:bottom w:type="dxa" w:w="70"/>
              <w:right w:type="dxa" w:w="110"/>
            </w:tcMar>
            <w:vAlign w:val="center"/>
          </w:tcPr>
          <w:p>
            <w:pPr>
              <w:jc w:val="center"/>
            </w:pPr>
            <w:r>
              <w:rPr>
                <w:b/>
                <w:bCs/>
                <w:color w:val="B8893B"/>
                <w:sz w:val="22"/>
                <w:szCs w:val="22"/>
              </w:rPr>
              <w:t xml:space="preserve">◐</w:t>
            </w:r>
          </w:p>
        </w:tc>
      </w:tr>
      <w:tr>
        <w:tc>
          <w:tcPr>
            <w:tcW w:type="dxa" w:w="2360"/>
            <w:tcBorders>
              <w:top w:val="single" w:color="D6CFC3" w:sz="1"/>
              <w:left w:val="single" w:color="D6CFC3" w:sz="1"/>
              <w:bottom w:val="single" w:color="D6CFC3" w:sz="1"/>
              <w:right w:val="single" w:color="D6CFC3" w:sz="1"/>
            </w:tcBorders>
            <w:shd w:fill="F5F0E8" w:color="auto" w:val="clear"/>
            <w:tcMar>
              <w:top w:type="dxa" w:w="70"/>
              <w:left w:type="dxa" w:w="110"/>
              <w:bottom w:type="dxa" w:w="70"/>
              <w:right w:type="dxa" w:w="110"/>
            </w:tcMar>
            <w:vAlign w:val="center"/>
          </w:tcPr>
          <w:p>
            <w:r>
              <w:rPr>
                <w:b/>
                <w:bCs/>
                <w:color w:val="1B2D45"/>
                <w:sz w:val="19"/>
                <w:szCs w:val="19"/>
              </w:rPr>
              <w:t xml:space="preserve">8 — Westward Expansion</w:t>
            </w:r>
          </w:p>
        </w:tc>
        <w:tc>
          <w:tcPr>
            <w:tcW w:type="dxa" w:w="1400"/>
            <w:tcBorders>
              <w:top w:val="single" w:color="D6CFC3" w:sz="1"/>
              <w:left w:val="single" w:color="D6CFC3" w:sz="1"/>
              <w:bottom w:val="single" w:color="D6CFC3" w:sz="1"/>
              <w:right w:val="single" w:color="D6CFC3" w:sz="1"/>
            </w:tcBorders>
            <w:shd w:fill="FBF1DD" w:color="auto" w:val="clear"/>
            <w:tcMar>
              <w:top w:type="dxa" w:w="70"/>
              <w:left w:type="dxa" w:w="110"/>
              <w:bottom w:type="dxa" w:w="70"/>
              <w:right w:type="dxa" w:w="110"/>
            </w:tcMar>
            <w:vAlign w:val="center"/>
          </w:tcPr>
          <w:p>
            <w:pPr>
              <w:jc w:val="center"/>
            </w:pPr>
            <w:r>
              <w:rPr>
                <w:b/>
                <w:bCs/>
                <w:color w:val="B8893B"/>
                <w:sz w:val="22"/>
                <w:szCs w:val="22"/>
              </w:rPr>
              <w:t xml:space="preserve">◐</w:t>
            </w:r>
          </w:p>
        </w:tc>
        <w:tc>
          <w:tcPr>
            <w:tcW w:type="dxa" w:w="1400"/>
            <w:tcBorders>
              <w:top w:val="single" w:color="D6CFC3" w:sz="1"/>
              <w:left w:val="single" w:color="D6CFC3" w:sz="1"/>
              <w:bottom w:val="single" w:color="D6CFC3" w:sz="1"/>
              <w:right w:val="single" w:color="D6CFC3" w:sz="1"/>
            </w:tcBorders>
            <w:tcMar>
              <w:top w:type="dxa" w:w="70"/>
              <w:left w:type="dxa" w:w="110"/>
              <w:bottom w:type="dxa" w:w="70"/>
              <w:right w:type="dxa" w:w="110"/>
            </w:tcMar>
            <w:vAlign w:val="center"/>
          </w:tcPr>
          <w:p>
            <w:pPr>
              <w:jc w:val="center"/>
            </w:pPr>
            <w:r>
              <w:rPr>
                <w:b/>
                <w:bCs/>
                <w:color w:val="5C564E"/>
                <w:sz w:val="22"/>
                <w:szCs w:val="22"/>
              </w:rPr>
              <w:t xml:space="preserve">–</w:t>
            </w:r>
          </w:p>
        </w:tc>
        <w:tc>
          <w:tcPr>
            <w:tcW w:type="dxa" w:w="1400"/>
            <w:tcBorders>
              <w:top w:val="single" w:color="D6CFC3" w:sz="1"/>
              <w:left w:val="single" w:color="D6CFC3" w:sz="1"/>
              <w:bottom w:val="single" w:color="D6CFC3" w:sz="1"/>
              <w:right w:val="single" w:color="D6CFC3" w:sz="1"/>
            </w:tcBorders>
            <w:shd w:fill="E3ECDF" w:color="auto" w:val="clear"/>
            <w:tcMar>
              <w:top w:type="dxa" w:w="70"/>
              <w:left w:type="dxa" w:w="110"/>
              <w:bottom w:type="dxa" w:w="70"/>
              <w:right w:type="dxa" w:w="110"/>
            </w:tcMar>
            <w:vAlign w:val="center"/>
          </w:tcPr>
          <w:p>
            <w:pPr>
              <w:jc w:val="center"/>
            </w:pPr>
            <w:r>
              <w:rPr>
                <w:b/>
                <w:bCs/>
                <w:color w:val="4A6741"/>
                <w:sz w:val="22"/>
                <w:szCs w:val="22"/>
              </w:rPr>
              <w:t xml:space="preserve">●</w:t>
            </w:r>
          </w:p>
        </w:tc>
        <w:tc>
          <w:tcPr>
            <w:tcW w:type="dxa" w:w="1400"/>
            <w:tcBorders>
              <w:top w:val="single" w:color="D6CFC3" w:sz="1"/>
              <w:left w:val="single" w:color="D6CFC3" w:sz="1"/>
              <w:bottom w:val="single" w:color="D6CFC3" w:sz="1"/>
              <w:right w:val="single" w:color="D6CFC3" w:sz="1"/>
            </w:tcBorders>
            <w:shd w:fill="E3ECDF" w:color="auto" w:val="clear"/>
            <w:tcMar>
              <w:top w:type="dxa" w:w="70"/>
              <w:left w:type="dxa" w:w="110"/>
              <w:bottom w:type="dxa" w:w="70"/>
              <w:right w:type="dxa" w:w="110"/>
            </w:tcMar>
            <w:vAlign w:val="center"/>
          </w:tcPr>
          <w:p>
            <w:pPr>
              <w:jc w:val="center"/>
            </w:pPr>
            <w:r>
              <w:rPr>
                <w:b/>
                <w:bCs/>
                <w:color w:val="4A6741"/>
                <w:sz w:val="22"/>
                <w:szCs w:val="22"/>
              </w:rPr>
              <w:t xml:space="preserve">●</w:t>
            </w:r>
          </w:p>
        </w:tc>
        <w:tc>
          <w:tcPr>
            <w:tcW w:type="dxa" w:w="1400"/>
            <w:tcBorders>
              <w:top w:val="single" w:color="D6CFC3" w:sz="1"/>
              <w:left w:val="single" w:color="D6CFC3" w:sz="1"/>
              <w:bottom w:val="single" w:color="D6CFC3" w:sz="1"/>
              <w:right w:val="single" w:color="D6CFC3" w:sz="1"/>
            </w:tcBorders>
            <w:shd w:fill="FBF1DD" w:color="auto" w:val="clear"/>
            <w:tcMar>
              <w:top w:type="dxa" w:w="70"/>
              <w:left w:type="dxa" w:w="110"/>
              <w:bottom w:type="dxa" w:w="70"/>
              <w:right w:type="dxa" w:w="110"/>
            </w:tcMar>
            <w:vAlign w:val="center"/>
          </w:tcPr>
          <w:p>
            <w:pPr>
              <w:jc w:val="center"/>
            </w:pPr>
            <w:r>
              <w:rPr>
                <w:b/>
                <w:bCs/>
                <w:color w:val="B8893B"/>
                <w:sz w:val="22"/>
                <w:szCs w:val="22"/>
              </w:rPr>
              <w:t xml:space="preserve">◐</w:t>
            </w:r>
          </w:p>
        </w:tc>
      </w:tr>
      <w:tr>
        <w:tc>
          <w:tcPr>
            <w:tcW w:type="dxa" w:w="2360"/>
            <w:tcBorders>
              <w:top w:val="single" w:color="D6CFC3" w:sz="1"/>
              <w:left w:val="single" w:color="D6CFC3" w:sz="1"/>
              <w:bottom w:val="single" w:color="D6CFC3" w:sz="1"/>
              <w:right w:val="single" w:color="D6CFC3" w:sz="1"/>
            </w:tcBorders>
            <w:shd w:fill="FFFFFF" w:color="auto" w:val="clear"/>
            <w:tcMar>
              <w:top w:type="dxa" w:w="70"/>
              <w:left w:type="dxa" w:w="110"/>
              <w:bottom w:type="dxa" w:w="70"/>
              <w:right w:type="dxa" w:w="110"/>
            </w:tcMar>
            <w:vAlign w:val="center"/>
          </w:tcPr>
          <w:p>
            <w:r>
              <w:rPr>
                <w:b/>
                <w:bCs/>
                <w:color w:val="1B2D45"/>
                <w:sz w:val="19"/>
                <w:szCs w:val="19"/>
              </w:rPr>
              <w:t xml:space="preserve">9 — The Civil War</w:t>
            </w:r>
          </w:p>
        </w:tc>
        <w:tc>
          <w:tcPr>
            <w:tcW w:type="dxa" w:w="1400"/>
            <w:tcBorders>
              <w:top w:val="single" w:color="D6CFC3" w:sz="1"/>
              <w:left w:val="single" w:color="D6CFC3" w:sz="1"/>
              <w:bottom w:val="single" w:color="D6CFC3" w:sz="1"/>
              <w:right w:val="single" w:color="D6CFC3" w:sz="1"/>
            </w:tcBorders>
            <w:shd w:fill="FBF1DD" w:color="auto" w:val="clear"/>
            <w:tcMar>
              <w:top w:type="dxa" w:w="70"/>
              <w:left w:type="dxa" w:w="110"/>
              <w:bottom w:type="dxa" w:w="70"/>
              <w:right w:type="dxa" w:w="110"/>
            </w:tcMar>
            <w:vAlign w:val="center"/>
          </w:tcPr>
          <w:p>
            <w:pPr>
              <w:jc w:val="center"/>
            </w:pPr>
            <w:r>
              <w:rPr>
                <w:b/>
                <w:bCs/>
                <w:color w:val="B8893B"/>
                <w:sz w:val="22"/>
                <w:szCs w:val="22"/>
              </w:rPr>
              <w:t xml:space="preserve">◐</w:t>
            </w:r>
          </w:p>
        </w:tc>
        <w:tc>
          <w:tcPr>
            <w:tcW w:type="dxa" w:w="1400"/>
            <w:tcBorders>
              <w:top w:val="single" w:color="D6CFC3" w:sz="1"/>
              <w:left w:val="single" w:color="D6CFC3" w:sz="1"/>
              <w:bottom w:val="single" w:color="D6CFC3" w:sz="1"/>
              <w:right w:val="single" w:color="D6CFC3" w:sz="1"/>
            </w:tcBorders>
            <w:shd w:fill="FBF1DD" w:color="auto" w:val="clear"/>
            <w:tcMar>
              <w:top w:type="dxa" w:w="70"/>
              <w:left w:type="dxa" w:w="110"/>
              <w:bottom w:type="dxa" w:w="70"/>
              <w:right w:type="dxa" w:w="110"/>
            </w:tcMar>
            <w:vAlign w:val="center"/>
          </w:tcPr>
          <w:p>
            <w:pPr>
              <w:jc w:val="center"/>
            </w:pPr>
            <w:r>
              <w:rPr>
                <w:b/>
                <w:bCs/>
                <w:color w:val="B8893B"/>
                <w:sz w:val="22"/>
                <w:szCs w:val="22"/>
              </w:rPr>
              <w:t xml:space="preserve">◐</w:t>
            </w:r>
          </w:p>
        </w:tc>
        <w:tc>
          <w:tcPr>
            <w:tcW w:type="dxa" w:w="1400"/>
            <w:tcBorders>
              <w:top w:val="single" w:color="D6CFC3" w:sz="1"/>
              <w:left w:val="single" w:color="D6CFC3" w:sz="1"/>
              <w:bottom w:val="single" w:color="D6CFC3" w:sz="1"/>
              <w:right w:val="single" w:color="D6CFC3" w:sz="1"/>
            </w:tcBorders>
            <w:shd w:fill="FBF1DD" w:color="auto" w:val="clear"/>
            <w:tcMar>
              <w:top w:type="dxa" w:w="70"/>
              <w:left w:type="dxa" w:w="110"/>
              <w:bottom w:type="dxa" w:w="70"/>
              <w:right w:type="dxa" w:w="110"/>
            </w:tcMar>
            <w:vAlign w:val="center"/>
          </w:tcPr>
          <w:p>
            <w:pPr>
              <w:jc w:val="center"/>
            </w:pPr>
            <w:r>
              <w:rPr>
                <w:b/>
                <w:bCs/>
                <w:color w:val="B8893B"/>
                <w:sz w:val="22"/>
                <w:szCs w:val="22"/>
              </w:rPr>
              <w:t xml:space="preserve">◐</w:t>
            </w:r>
          </w:p>
        </w:tc>
        <w:tc>
          <w:tcPr>
            <w:tcW w:type="dxa" w:w="1400"/>
            <w:tcBorders>
              <w:top w:val="single" w:color="D6CFC3" w:sz="1"/>
              <w:left w:val="single" w:color="D6CFC3" w:sz="1"/>
              <w:bottom w:val="single" w:color="D6CFC3" w:sz="1"/>
              <w:right w:val="single" w:color="D6CFC3" w:sz="1"/>
            </w:tcBorders>
            <w:shd w:fill="E3ECDF" w:color="auto" w:val="clear"/>
            <w:tcMar>
              <w:top w:type="dxa" w:w="70"/>
              <w:left w:type="dxa" w:w="110"/>
              <w:bottom w:type="dxa" w:w="70"/>
              <w:right w:type="dxa" w:w="110"/>
            </w:tcMar>
            <w:vAlign w:val="center"/>
          </w:tcPr>
          <w:p>
            <w:pPr>
              <w:jc w:val="center"/>
            </w:pPr>
            <w:r>
              <w:rPr>
                <w:b/>
                <w:bCs/>
                <w:color w:val="4A6741"/>
                <w:sz w:val="22"/>
                <w:szCs w:val="22"/>
              </w:rPr>
              <w:t xml:space="preserve">●</w:t>
            </w:r>
          </w:p>
        </w:tc>
        <w:tc>
          <w:tcPr>
            <w:tcW w:type="dxa" w:w="1400"/>
            <w:tcBorders>
              <w:top w:val="single" w:color="D6CFC3" w:sz="1"/>
              <w:left w:val="single" w:color="D6CFC3" w:sz="1"/>
              <w:bottom w:val="single" w:color="D6CFC3" w:sz="1"/>
              <w:right w:val="single" w:color="D6CFC3" w:sz="1"/>
            </w:tcBorders>
            <w:shd w:fill="FBF1DD" w:color="auto" w:val="clear"/>
            <w:tcMar>
              <w:top w:type="dxa" w:w="70"/>
              <w:left w:type="dxa" w:w="110"/>
              <w:bottom w:type="dxa" w:w="70"/>
              <w:right w:type="dxa" w:w="110"/>
            </w:tcMar>
            <w:vAlign w:val="center"/>
          </w:tcPr>
          <w:p>
            <w:pPr>
              <w:jc w:val="center"/>
            </w:pPr>
            <w:r>
              <w:rPr>
                <w:b/>
                <w:bCs/>
                <w:color w:val="B8893B"/>
                <w:sz w:val="22"/>
                <w:szCs w:val="22"/>
              </w:rPr>
              <w:t xml:space="preserve">◐</w:t>
            </w:r>
          </w:p>
        </w:tc>
      </w:tr>
      <w:tr>
        <w:tc>
          <w:tcPr>
            <w:tcW w:type="dxa" w:w="2360"/>
            <w:tcBorders>
              <w:top w:val="single" w:color="D6CFC3" w:sz="1"/>
              <w:left w:val="single" w:color="D6CFC3" w:sz="1"/>
              <w:bottom w:val="single" w:color="D6CFC3" w:sz="1"/>
              <w:right w:val="single" w:color="D6CFC3" w:sz="1"/>
            </w:tcBorders>
            <w:shd w:fill="F5F0E8" w:color="auto" w:val="clear"/>
            <w:tcMar>
              <w:top w:type="dxa" w:w="70"/>
              <w:left w:type="dxa" w:w="110"/>
              <w:bottom w:type="dxa" w:w="70"/>
              <w:right w:type="dxa" w:w="110"/>
            </w:tcMar>
            <w:vAlign w:val="center"/>
          </w:tcPr>
          <w:p>
            <w:r>
              <w:rPr>
                <w:b/>
                <w:bCs/>
                <w:color w:val="1B2D45"/>
                <w:sz w:val="19"/>
                <w:szCs w:val="19"/>
              </w:rPr>
              <w:t xml:space="preserve">Capstones 1 &amp; 2</w:t>
            </w:r>
          </w:p>
        </w:tc>
        <w:tc>
          <w:tcPr>
            <w:tcW w:type="dxa" w:w="1400"/>
            <w:tcBorders>
              <w:top w:val="single" w:color="D6CFC3" w:sz="1"/>
              <w:left w:val="single" w:color="D6CFC3" w:sz="1"/>
              <w:bottom w:val="single" w:color="D6CFC3" w:sz="1"/>
              <w:right w:val="single" w:color="D6CFC3" w:sz="1"/>
            </w:tcBorders>
            <w:shd w:fill="FBF1DD" w:color="auto" w:val="clear"/>
            <w:tcMar>
              <w:top w:type="dxa" w:w="70"/>
              <w:left w:type="dxa" w:w="110"/>
              <w:bottom w:type="dxa" w:w="70"/>
              <w:right w:type="dxa" w:w="110"/>
            </w:tcMar>
            <w:vAlign w:val="center"/>
          </w:tcPr>
          <w:p>
            <w:pPr>
              <w:jc w:val="center"/>
            </w:pPr>
            <w:r>
              <w:rPr>
                <w:b/>
                <w:bCs/>
                <w:color w:val="B8893B"/>
                <w:sz w:val="22"/>
                <w:szCs w:val="22"/>
              </w:rPr>
              <w:t xml:space="preserve">◐</w:t>
            </w:r>
          </w:p>
        </w:tc>
        <w:tc>
          <w:tcPr>
            <w:tcW w:type="dxa" w:w="1400"/>
            <w:tcBorders>
              <w:top w:val="single" w:color="D6CFC3" w:sz="1"/>
              <w:left w:val="single" w:color="D6CFC3" w:sz="1"/>
              <w:bottom w:val="single" w:color="D6CFC3" w:sz="1"/>
              <w:right w:val="single" w:color="D6CFC3" w:sz="1"/>
            </w:tcBorders>
            <w:tcMar>
              <w:top w:type="dxa" w:w="70"/>
              <w:left w:type="dxa" w:w="110"/>
              <w:bottom w:type="dxa" w:w="70"/>
              <w:right w:type="dxa" w:w="110"/>
            </w:tcMar>
            <w:vAlign w:val="center"/>
          </w:tcPr>
          <w:p>
            <w:pPr>
              <w:jc w:val="center"/>
            </w:pPr>
            <w:r>
              <w:rPr>
                <w:b/>
                <w:bCs/>
                <w:color w:val="5C564E"/>
                <w:sz w:val="22"/>
                <w:szCs w:val="22"/>
              </w:rPr>
              <w:t xml:space="preserve">–</w:t>
            </w:r>
          </w:p>
        </w:tc>
        <w:tc>
          <w:tcPr>
            <w:tcW w:type="dxa" w:w="1400"/>
            <w:tcBorders>
              <w:top w:val="single" w:color="D6CFC3" w:sz="1"/>
              <w:left w:val="single" w:color="D6CFC3" w:sz="1"/>
              <w:bottom w:val="single" w:color="D6CFC3" w:sz="1"/>
              <w:right w:val="single" w:color="D6CFC3" w:sz="1"/>
            </w:tcBorders>
            <w:tcMar>
              <w:top w:type="dxa" w:w="70"/>
              <w:left w:type="dxa" w:w="110"/>
              <w:bottom w:type="dxa" w:w="70"/>
              <w:right w:type="dxa" w:w="110"/>
            </w:tcMar>
            <w:vAlign w:val="center"/>
          </w:tcPr>
          <w:p>
            <w:pPr>
              <w:jc w:val="center"/>
            </w:pPr>
            <w:r>
              <w:rPr>
                <w:b/>
                <w:bCs/>
                <w:color w:val="5C564E"/>
                <w:sz w:val="22"/>
                <w:szCs w:val="22"/>
              </w:rPr>
              <w:t xml:space="preserve">–</w:t>
            </w:r>
          </w:p>
        </w:tc>
        <w:tc>
          <w:tcPr>
            <w:tcW w:type="dxa" w:w="1400"/>
            <w:tcBorders>
              <w:top w:val="single" w:color="D6CFC3" w:sz="1"/>
              <w:left w:val="single" w:color="D6CFC3" w:sz="1"/>
              <w:bottom w:val="single" w:color="D6CFC3" w:sz="1"/>
              <w:right w:val="single" w:color="D6CFC3" w:sz="1"/>
            </w:tcBorders>
            <w:shd w:fill="FBF1DD" w:color="auto" w:val="clear"/>
            <w:tcMar>
              <w:top w:type="dxa" w:w="70"/>
              <w:left w:type="dxa" w:w="110"/>
              <w:bottom w:type="dxa" w:w="70"/>
              <w:right w:type="dxa" w:w="110"/>
            </w:tcMar>
            <w:vAlign w:val="center"/>
          </w:tcPr>
          <w:p>
            <w:pPr>
              <w:jc w:val="center"/>
            </w:pPr>
            <w:r>
              <w:rPr>
                <w:b/>
                <w:bCs/>
                <w:color w:val="B8893B"/>
                <w:sz w:val="22"/>
                <w:szCs w:val="22"/>
              </w:rPr>
              <w:t xml:space="preserve">◐</w:t>
            </w:r>
          </w:p>
        </w:tc>
        <w:tc>
          <w:tcPr>
            <w:tcW w:type="dxa" w:w="1400"/>
            <w:tcBorders>
              <w:top w:val="single" w:color="D6CFC3" w:sz="1"/>
              <w:left w:val="single" w:color="D6CFC3" w:sz="1"/>
              <w:bottom w:val="single" w:color="D6CFC3" w:sz="1"/>
              <w:right w:val="single" w:color="D6CFC3" w:sz="1"/>
            </w:tcBorders>
            <w:shd w:fill="E3ECDF" w:color="auto" w:val="clear"/>
            <w:tcMar>
              <w:top w:type="dxa" w:w="70"/>
              <w:left w:type="dxa" w:w="110"/>
              <w:bottom w:type="dxa" w:w="70"/>
              <w:right w:type="dxa" w:w="110"/>
            </w:tcMar>
            <w:vAlign w:val="center"/>
          </w:tcPr>
          <w:p>
            <w:pPr>
              <w:jc w:val="center"/>
            </w:pPr>
            <w:r>
              <w:rPr>
                <w:b/>
                <w:bCs/>
                <w:color w:val="4A6741"/>
                <w:sz w:val="22"/>
                <w:szCs w:val="22"/>
              </w:rPr>
              <w:t xml:space="preserve">●</w:t>
            </w:r>
          </w:p>
        </w:tc>
      </w:tr>
    </w:tbl>
    <w:p>
      <w:pPr>
        <w:spacing w:before="80"/>
      </w:pPr>
      <w:r>
        <w:rPr>
          <w:b/>
          <w:bCs/>
          <w:sz w:val="19"/>
          <w:szCs w:val="19"/>
        </w:rPr>
        <w:t xml:space="preserve">Strand health at a glance:  </w:t>
      </w:r>
      <w:r>
        <w:rPr>
          <w:color w:val="5C564E"/>
          <w:sz w:val="19"/>
          <w:szCs w:val="19"/>
        </w:rPr>
        <w:t xml:space="preserve">History ●●●   Civics ●●   Skills ●●   Geography ●   Economics ○</w:t>
      </w:r>
    </w:p>
    <w:p>
      <w:r>
        <w:br w:type="page"/>
      </w:r>
    </w:p>
    <w:p>
      <w:pPr>
        <w:pStyle w:val="Heading1"/>
      </w:pPr>
      <w:r>
        <w:t xml:space="preserve">Unit-by-unit standards map</w:t>
      </w:r>
    </w:p>
    <w:p>
      <w:pPr>
        <w:spacing w:after="100"/>
      </w:pPr>
      <w:r>
        <w:rPr>
          <w:i/>
          <w:iCs/>
          <w:color w:val="5C564E"/>
          <w:sz w:val="19"/>
          <w:szCs w:val="19"/>
        </w:rPr>
        <w:t xml:space="preserve">Specific Grade 8 / U.S. standard codes each unit addresses. Codes match the Standards Progression Map page; “Skills” codes (SSS) apply across all middle-school grades.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50"/>
        <w:gridCol w:w="4310"/>
        <w:gridCol w:w="2900"/>
      </w:tblGrid>
      <w:tr>
        <w:trPr>
          <w:tblHeader/>
        </w:trPr>
        <w:tc>
          <w:tcPr>
            <w:tcW w:type="dxa" w:w="2150"/>
            <w:tcBorders>
              <w:top w:val="single" w:color="D6CFC3" w:sz="1"/>
              <w:left w:val="single" w:color="D6CFC3" w:sz="1"/>
              <w:bottom w:val="single" w:color="D6CFC3" w:sz="1"/>
              <w:right w:val="single" w:color="D6CFC3" w:sz="1"/>
            </w:tcBorders>
            <w:shd w:fill="1B2D45" w:color="auto" w:val="clear"/>
            <w:tcMar>
              <w:top w:type="dxa" w:w="70"/>
              <w:left w:type="dxa" w:w="110"/>
              <w:bottom w:type="dxa" w:w="70"/>
              <w:right w:type="dxa" w:w="110"/>
            </w:tcMar>
            <w:vAlign w:val="center"/>
          </w:tcPr>
          <w:p>
            <w:pPr>
              <w:jc w:val="left"/>
            </w:pPr>
            <w:r>
              <w:rPr>
                <w:b/>
                <w:bCs/>
                <w:color w:val="FFFFFF"/>
                <w:sz w:val="19"/>
                <w:szCs w:val="19"/>
              </w:rPr>
              <w:t xml:space="preserve">Unit</w:t>
            </w:r>
          </w:p>
        </w:tc>
        <w:tc>
          <w:tcPr>
            <w:tcW w:type="dxa" w:w="4310"/>
            <w:tcBorders>
              <w:top w:val="single" w:color="D6CFC3" w:sz="1"/>
              <w:left w:val="single" w:color="D6CFC3" w:sz="1"/>
              <w:bottom w:val="single" w:color="D6CFC3" w:sz="1"/>
              <w:right w:val="single" w:color="D6CFC3" w:sz="1"/>
            </w:tcBorders>
            <w:shd w:fill="1B2D45" w:color="auto" w:val="clear"/>
            <w:tcMar>
              <w:top w:type="dxa" w:w="70"/>
              <w:left w:type="dxa" w:w="110"/>
              <w:bottom w:type="dxa" w:w="70"/>
              <w:right w:type="dxa" w:w="110"/>
            </w:tcMar>
            <w:vAlign w:val="center"/>
          </w:tcPr>
          <w:p>
            <w:pPr>
              <w:jc w:val="center"/>
            </w:pPr>
            <w:r>
              <w:rPr>
                <w:b/>
                <w:bCs/>
                <w:color w:val="FFFFFF"/>
                <w:sz w:val="19"/>
                <w:szCs w:val="19"/>
              </w:rPr>
              <w:t xml:space="preserve">Standards addressed</w:t>
            </w:r>
          </w:p>
        </w:tc>
        <w:tc>
          <w:tcPr>
            <w:tcW w:type="dxa" w:w="2900"/>
            <w:tcBorders>
              <w:top w:val="single" w:color="D6CFC3" w:sz="1"/>
              <w:left w:val="single" w:color="D6CFC3" w:sz="1"/>
              <w:bottom w:val="single" w:color="D6CFC3" w:sz="1"/>
              <w:right w:val="single" w:color="D6CFC3" w:sz="1"/>
            </w:tcBorders>
            <w:shd w:fill="1B2D45" w:color="auto" w:val="clear"/>
            <w:tcMar>
              <w:top w:type="dxa" w:w="70"/>
              <w:left w:type="dxa" w:w="110"/>
              <w:bottom w:type="dxa" w:w="70"/>
              <w:right w:type="dxa" w:w="110"/>
            </w:tcMar>
            <w:vAlign w:val="center"/>
          </w:tcPr>
          <w:p>
            <w:pPr>
              <w:jc w:val="center"/>
            </w:pPr>
            <w:r>
              <w:rPr>
                <w:b/>
                <w:bCs/>
                <w:color w:val="FFFFFF"/>
                <w:sz w:val="19"/>
                <w:szCs w:val="19"/>
              </w:rPr>
              <w:t xml:space="preserve">Notes / strongest hits</w:t>
            </w:r>
          </w:p>
        </w:tc>
      </w:tr>
      <w:tr>
        <w:tc>
          <w:tcPr>
            <w:tcW w:type="dxa" w:w="2150"/>
            <w:tcBorders>
              <w:top w:val="single" w:color="D6CFC3" w:sz="1"/>
              <w:left w:val="single" w:color="D6CFC3" w:sz="1"/>
              <w:bottom w:val="single" w:color="D6CFC3" w:sz="1"/>
              <w:right w:val="single" w:color="D6CFC3" w:sz="1"/>
            </w:tcBorders>
            <w:shd w:fill="F5F0E8" w:color="auto" w:val="clear"/>
            <w:tcMar>
              <w:top w:type="dxa" w:w="70"/>
              <w:left w:type="dxa" w:w="110"/>
              <w:bottom w:type="dxa" w:w="70"/>
              <w:right w:type="dxa" w:w="110"/>
            </w:tcMar>
            <w:vAlign w:val="center"/>
          </w:tcPr>
          <w:p>
            <w:r>
              <w:rPr>
                <w:b/>
                <w:bCs/>
                <w:color w:val="1B2D45"/>
                <w:sz w:val="19"/>
                <w:szCs w:val="19"/>
              </w:rPr>
              <w:t xml:space="preserve">Intro — Who Are We?</w:t>
            </w:r>
          </w:p>
        </w:tc>
        <w:tc>
          <w:tcPr>
            <w:tcW w:type="dxa" w:w="4310"/>
            <w:tcBorders>
              <w:top w:val="single" w:color="D6CFC3" w:sz="1"/>
              <w:left w:val="single" w:color="D6CFC3" w:sz="1"/>
              <w:bottom w:val="single" w:color="D6CFC3" w:sz="1"/>
              <w:right w:val="single" w:color="D6CFC3" w:sz="1"/>
            </w:tcBorders>
            <w:shd w:fill="F5F0E8" w:color="auto" w:val="clear"/>
            <w:tcMar>
              <w:top w:type="dxa" w:w="70"/>
              <w:left w:type="dxa" w:w="110"/>
              <w:bottom w:type="dxa" w:w="70"/>
              <w:right w:type="dxa" w:w="110"/>
            </w:tcMar>
            <w:vAlign w:val="center"/>
          </w:tcPr>
          <w:p>
            <w:r>
              <w:rPr>
                <w:sz w:val="18"/>
                <w:szCs w:val="18"/>
              </w:rPr>
              <w:t xml:space="preserve">C1.6-8.3 · C4.6-8.4 · SSS3.6-8.1 · H4.6-8.3</w:t>
            </w:r>
          </w:p>
        </w:tc>
        <w:tc>
          <w:tcPr>
            <w:tcW w:type="dxa" w:w="2900"/>
            <w:tcBorders>
              <w:top w:val="single" w:color="D6CFC3" w:sz="1"/>
              <w:left w:val="single" w:color="D6CFC3" w:sz="1"/>
              <w:bottom w:val="single" w:color="D6CFC3" w:sz="1"/>
              <w:right w:val="single" w:color="D6CFC3" w:sz="1"/>
            </w:tcBorders>
            <w:shd w:fill="F5F0E8" w:color="auto" w:val="clear"/>
            <w:tcMar>
              <w:top w:type="dxa" w:w="70"/>
              <w:left w:type="dxa" w:w="110"/>
              <w:bottom w:type="dxa" w:w="70"/>
              <w:right w:type="dxa" w:w="110"/>
            </w:tcMar>
            <w:vAlign w:val="center"/>
          </w:tcPr>
          <w:p>
            <w:r>
              <w:rPr>
                <w:color w:val="5C564E"/>
                <w:sz w:val="18"/>
                <w:szCs w:val="18"/>
              </w:rPr>
              <w:t xml:space="preserve">Classroom Constitution is a clean C4.6-8.4 (individual rights vs. common good). Identity work sets up perspective-taking.</w:t>
            </w:r>
          </w:p>
        </w:tc>
      </w:tr>
      <w:tr>
        <w:tc>
          <w:tcPr>
            <w:tcW w:type="dxa" w:w="2150"/>
            <w:tcBorders>
              <w:top w:val="single" w:color="D6CFC3" w:sz="1"/>
              <w:left w:val="single" w:color="D6CFC3" w:sz="1"/>
              <w:bottom w:val="single" w:color="D6CFC3" w:sz="1"/>
              <w:right w:val="single" w:color="D6CFC3" w:sz="1"/>
            </w:tcBorders>
            <w:shd w:fill="FFFFFF" w:color="auto" w:val="clear"/>
            <w:tcMar>
              <w:top w:type="dxa" w:w="70"/>
              <w:left w:type="dxa" w:w="110"/>
              <w:bottom w:type="dxa" w:w="70"/>
              <w:right w:type="dxa" w:w="110"/>
            </w:tcMar>
            <w:vAlign w:val="center"/>
          </w:tcPr>
          <w:p>
            <w:r>
              <w:rPr>
                <w:b/>
                <w:bCs/>
                <w:color w:val="1B2D45"/>
                <w:sz w:val="19"/>
                <w:szCs w:val="19"/>
              </w:rPr>
              <w:t xml:space="preserve">1 — 13 Colonies</w:t>
            </w:r>
          </w:p>
        </w:tc>
        <w:tc>
          <w:tcPr>
            <w:tcW w:type="dxa" w:w="4310"/>
            <w:tcBorders>
              <w:top w:val="single" w:color="D6CFC3" w:sz="1"/>
              <w:left w:val="single" w:color="D6CFC3" w:sz="1"/>
              <w:bottom w:val="single" w:color="D6CFC3" w:sz="1"/>
              <w:right w:val="single" w:color="D6CFC3" w:sz="1"/>
            </w:tcBorders>
            <w:shd w:fill="FFFFFF" w:color="auto" w:val="clear"/>
            <w:tcMar>
              <w:top w:type="dxa" w:w="70"/>
              <w:left w:type="dxa" w:w="110"/>
              <w:bottom w:type="dxa" w:w="70"/>
              <w:right w:type="dxa" w:w="110"/>
            </w:tcMar>
            <w:vAlign w:val="center"/>
          </w:tcPr>
          <w:p>
            <w:r>
              <w:rPr>
                <w:sz w:val="18"/>
                <w:szCs w:val="18"/>
              </w:rPr>
              <w:t xml:space="preserve">G1.6-8.5 · G2.6-8.6 · E2.6-8.5 · E4.6-8.5 · H2.6-8.6 · H3.6-8.4 · SSS2.6-8.2</w:t>
            </w:r>
          </w:p>
        </w:tc>
        <w:tc>
          <w:tcPr>
            <w:tcW w:type="dxa" w:w="2900"/>
            <w:tcBorders>
              <w:top w:val="single" w:color="D6CFC3" w:sz="1"/>
              <w:left w:val="single" w:color="D6CFC3" w:sz="1"/>
              <w:bottom w:val="single" w:color="D6CFC3" w:sz="1"/>
              <w:right w:val="single" w:color="D6CFC3" w:sz="1"/>
            </w:tcBorders>
            <w:shd w:fill="FFFFFF" w:color="auto" w:val="clear"/>
            <w:tcMar>
              <w:top w:type="dxa" w:w="70"/>
              <w:left w:type="dxa" w:w="110"/>
              <w:bottom w:type="dxa" w:w="70"/>
              <w:right w:type="dxa" w:w="110"/>
            </w:tcMar>
            <w:vAlign w:val="center"/>
          </w:tcPr>
          <w:p>
            <w:r>
              <w:rPr>
                <w:color w:val="5C564E"/>
                <w:sz w:val="18"/>
                <w:szCs w:val="18"/>
              </w:rPr>
              <w:t xml:space="preserve">Three colonial regions = geography of place. Triangle Trade + Slave Voyages DB = economics &amp; sourcing. Indigenous perspectives = H3.6-8.4.</w:t>
            </w:r>
          </w:p>
        </w:tc>
      </w:tr>
      <w:tr>
        <w:tc>
          <w:tcPr>
            <w:tcW w:type="dxa" w:w="2150"/>
            <w:tcBorders>
              <w:top w:val="single" w:color="D6CFC3" w:sz="1"/>
              <w:left w:val="single" w:color="D6CFC3" w:sz="1"/>
              <w:bottom w:val="single" w:color="D6CFC3" w:sz="1"/>
              <w:right w:val="single" w:color="D6CFC3" w:sz="1"/>
            </w:tcBorders>
            <w:shd w:fill="F5F0E8" w:color="auto" w:val="clear"/>
            <w:tcMar>
              <w:top w:type="dxa" w:w="70"/>
              <w:left w:type="dxa" w:w="110"/>
              <w:bottom w:type="dxa" w:w="70"/>
              <w:right w:type="dxa" w:w="110"/>
            </w:tcMar>
            <w:vAlign w:val="center"/>
          </w:tcPr>
          <w:p>
            <w:r>
              <w:rPr>
                <w:b/>
                <w:bCs/>
                <w:color w:val="1B2D45"/>
                <w:sz w:val="19"/>
                <w:szCs w:val="19"/>
              </w:rPr>
              <w:t xml:space="preserve">2 — Road to Revolution</w:t>
            </w:r>
          </w:p>
        </w:tc>
        <w:tc>
          <w:tcPr>
            <w:tcW w:type="dxa" w:w="4310"/>
            <w:tcBorders>
              <w:top w:val="single" w:color="D6CFC3" w:sz="1"/>
              <w:left w:val="single" w:color="D6CFC3" w:sz="1"/>
              <w:bottom w:val="single" w:color="D6CFC3" w:sz="1"/>
              <w:right w:val="single" w:color="D6CFC3" w:sz="1"/>
            </w:tcBorders>
            <w:shd w:fill="F5F0E8" w:color="auto" w:val="clear"/>
            <w:tcMar>
              <w:top w:type="dxa" w:w="70"/>
              <w:left w:type="dxa" w:w="110"/>
              <w:bottom w:type="dxa" w:w="70"/>
              <w:right w:type="dxa" w:w="110"/>
            </w:tcMar>
            <w:vAlign w:val="center"/>
          </w:tcPr>
          <w:p>
            <w:r>
              <w:rPr>
                <w:sz w:val="18"/>
                <w:szCs w:val="18"/>
              </w:rPr>
              <w:t xml:space="preserve">H1.6-8.6 · H2.6-8.5 · H3.6-8.4 · H3.6-8.5 · C1.6-8.3 · SSS1</w:t>
            </w:r>
          </w:p>
        </w:tc>
        <w:tc>
          <w:tcPr>
            <w:tcW w:type="dxa" w:w="2900"/>
            <w:tcBorders>
              <w:top w:val="single" w:color="D6CFC3" w:sz="1"/>
              <w:left w:val="single" w:color="D6CFC3" w:sz="1"/>
              <w:bottom w:val="single" w:color="D6CFC3" w:sz="1"/>
              <w:right w:val="single" w:color="D6CFC3" w:sz="1"/>
            </w:tcBorders>
            <w:shd w:fill="F5F0E8" w:color="auto" w:val="clear"/>
            <w:tcMar>
              <w:top w:type="dxa" w:w="70"/>
              <w:left w:type="dxa" w:w="110"/>
              <w:bottom w:type="dxa" w:w="70"/>
              <w:right w:type="dxa" w:w="110"/>
            </w:tcMar>
            <w:vAlign w:val="center"/>
          </w:tcPr>
          <w:p>
            <w:r>
              <w:rPr>
                <w:color w:val="5C564E"/>
                <w:sz w:val="18"/>
                <w:szCs w:val="18"/>
              </w:rPr>
              <w:t xml:space="preserve">“Whose story is left out?” timeline = causal analysis + perspective. DOI close read = C1.6-8.3 ideals.</w:t>
            </w:r>
          </w:p>
        </w:tc>
      </w:tr>
      <w:tr>
        <w:tc>
          <w:tcPr>
            <w:tcW w:type="dxa" w:w="2150"/>
            <w:tcBorders>
              <w:top w:val="single" w:color="D6CFC3" w:sz="1"/>
              <w:left w:val="single" w:color="D6CFC3" w:sz="1"/>
              <w:bottom w:val="single" w:color="D6CFC3" w:sz="1"/>
              <w:right w:val="single" w:color="D6CFC3" w:sz="1"/>
            </w:tcBorders>
            <w:shd w:fill="FFFFFF" w:color="auto" w:val="clear"/>
            <w:tcMar>
              <w:top w:type="dxa" w:w="70"/>
              <w:left w:type="dxa" w:w="110"/>
              <w:bottom w:type="dxa" w:w="70"/>
              <w:right w:type="dxa" w:w="110"/>
            </w:tcMar>
            <w:vAlign w:val="center"/>
          </w:tcPr>
          <w:p>
            <w:r>
              <w:rPr>
                <w:b/>
                <w:bCs/>
                <w:color w:val="1B2D45"/>
                <w:sz w:val="19"/>
                <w:szCs w:val="19"/>
              </w:rPr>
              <w:t xml:space="preserve">3 — Voices of the Revolution</w:t>
            </w:r>
          </w:p>
        </w:tc>
        <w:tc>
          <w:tcPr>
            <w:tcW w:type="dxa" w:w="4310"/>
            <w:tcBorders>
              <w:top w:val="single" w:color="D6CFC3" w:sz="1"/>
              <w:left w:val="single" w:color="D6CFC3" w:sz="1"/>
              <w:bottom w:val="single" w:color="D6CFC3" w:sz="1"/>
              <w:right w:val="single" w:color="D6CFC3" w:sz="1"/>
            </w:tcBorders>
            <w:shd w:fill="FFFFFF" w:color="auto" w:val="clear"/>
            <w:tcMar>
              <w:top w:type="dxa" w:w="70"/>
              <w:left w:type="dxa" w:w="110"/>
              <w:bottom w:type="dxa" w:w="70"/>
              <w:right w:type="dxa" w:w="110"/>
            </w:tcMar>
            <w:vAlign w:val="center"/>
          </w:tcPr>
          <w:p>
            <w:r>
              <w:rPr>
                <w:sz w:val="18"/>
                <w:szCs w:val="18"/>
              </w:rPr>
              <w:t xml:space="preserve">H2.6-8.6 · H3.6-8.4 · C1.6-8.4 · SSS2.6-8.1 · SSS4.6-8.1 · SSS4.6-8.2</w:t>
            </w:r>
          </w:p>
        </w:tc>
        <w:tc>
          <w:tcPr>
            <w:tcW w:type="dxa" w:w="2900"/>
            <w:tcBorders>
              <w:top w:val="single" w:color="D6CFC3" w:sz="1"/>
              <w:left w:val="single" w:color="D6CFC3" w:sz="1"/>
              <w:bottom w:val="single" w:color="D6CFC3" w:sz="1"/>
              <w:right w:val="single" w:color="D6CFC3" w:sz="1"/>
            </w:tcBorders>
            <w:shd w:fill="FFFFFF" w:color="auto" w:val="clear"/>
            <w:tcMar>
              <w:top w:type="dxa" w:w="70"/>
              <w:left w:type="dxa" w:w="110"/>
              <w:bottom w:type="dxa" w:w="70"/>
              <w:right w:type="dxa" w:w="110"/>
            </w:tcMar>
            <w:vAlign w:val="center"/>
          </w:tcPr>
          <w:p>
            <w:r>
              <w:rPr>
                <w:color w:val="5C564E"/>
                <w:sz w:val="18"/>
                <w:szCs w:val="18"/>
              </w:rPr>
              <w:t xml:space="preserve">Overlooked-figure podcast is a textbook SSS4 product (research → thesis → cite). “Freedom that doesn’t include you” = C1.6-8.4.</w:t>
            </w:r>
          </w:p>
        </w:tc>
      </w:tr>
      <w:tr>
        <w:tc>
          <w:tcPr>
            <w:tcW w:type="dxa" w:w="2150"/>
            <w:tcBorders>
              <w:top w:val="single" w:color="D6CFC3" w:sz="1"/>
              <w:left w:val="single" w:color="D6CFC3" w:sz="1"/>
              <w:bottom w:val="single" w:color="D6CFC3" w:sz="1"/>
              <w:right w:val="single" w:color="D6CFC3" w:sz="1"/>
            </w:tcBorders>
            <w:shd w:fill="F5F0E8" w:color="auto" w:val="clear"/>
            <w:tcMar>
              <w:top w:type="dxa" w:w="70"/>
              <w:left w:type="dxa" w:w="110"/>
              <w:bottom w:type="dxa" w:w="70"/>
              <w:right w:type="dxa" w:w="110"/>
            </w:tcMar>
            <w:vAlign w:val="center"/>
          </w:tcPr>
          <w:p>
            <w:r>
              <w:rPr>
                <w:b/>
                <w:bCs/>
                <w:color w:val="1B2D45"/>
                <w:sz w:val="19"/>
                <w:szCs w:val="19"/>
              </w:rPr>
              <w:t xml:space="preserve">4 — The Constitution</w:t>
            </w:r>
          </w:p>
        </w:tc>
        <w:tc>
          <w:tcPr>
            <w:tcW w:type="dxa" w:w="4310"/>
            <w:tcBorders>
              <w:top w:val="single" w:color="D6CFC3" w:sz="1"/>
              <w:left w:val="single" w:color="D6CFC3" w:sz="1"/>
              <w:bottom w:val="single" w:color="D6CFC3" w:sz="1"/>
              <w:right w:val="single" w:color="D6CFC3" w:sz="1"/>
            </w:tcBorders>
            <w:shd w:fill="F5F0E8" w:color="auto" w:val="clear"/>
            <w:tcMar>
              <w:top w:type="dxa" w:w="70"/>
              <w:left w:type="dxa" w:w="110"/>
              <w:bottom w:type="dxa" w:w="70"/>
              <w:right w:type="dxa" w:w="110"/>
            </w:tcMar>
            <w:vAlign w:val="center"/>
          </w:tcPr>
          <w:p>
            <w:r>
              <w:rPr>
                <w:sz w:val="18"/>
                <w:szCs w:val="18"/>
              </w:rPr>
              <w:t xml:space="preserve">C1.6-8.3 · C2.6-8.3 · C2.6-8.6 · C1.6-8.4 · SSS1</w:t>
            </w:r>
          </w:p>
        </w:tc>
        <w:tc>
          <w:tcPr>
            <w:tcW w:type="dxa" w:w="2900"/>
            <w:tcBorders>
              <w:top w:val="single" w:color="D6CFC3" w:sz="1"/>
              <w:left w:val="single" w:color="D6CFC3" w:sz="1"/>
              <w:bottom w:val="single" w:color="D6CFC3" w:sz="1"/>
              <w:right w:val="single" w:color="D6CFC3" w:sz="1"/>
            </w:tcBorders>
            <w:shd w:fill="F5F0E8" w:color="auto" w:val="clear"/>
            <w:tcMar>
              <w:top w:type="dxa" w:w="70"/>
              <w:left w:type="dxa" w:w="110"/>
              <w:bottom w:type="dxa" w:w="70"/>
              <w:right w:type="dxa" w:w="110"/>
            </w:tcMar>
            <w:vAlign w:val="center"/>
          </w:tcPr>
          <w:p>
            <w:r>
              <w:rPr>
                <w:color w:val="5C564E"/>
                <w:sz w:val="18"/>
                <w:szCs w:val="18"/>
              </w:rPr>
              <w:t xml:space="preserve">Convention compromises “at whose expense” = C1.6-8.4. Democracy vs. republic = C2.6-8.6. Native Nations thread links to Gr. 7 treaty standards.</w:t>
            </w:r>
          </w:p>
        </w:tc>
      </w:tr>
      <w:tr>
        <w:tc>
          <w:tcPr>
            <w:tcW w:type="dxa" w:w="2150"/>
            <w:tcBorders>
              <w:top w:val="single" w:color="D6CFC3" w:sz="1"/>
              <w:left w:val="single" w:color="D6CFC3" w:sz="1"/>
              <w:bottom w:val="single" w:color="D6CFC3" w:sz="1"/>
              <w:right w:val="single" w:color="D6CFC3" w:sz="1"/>
            </w:tcBorders>
            <w:shd w:fill="FFFFFF" w:color="auto" w:val="clear"/>
            <w:tcMar>
              <w:top w:type="dxa" w:w="70"/>
              <w:left w:type="dxa" w:w="110"/>
              <w:bottom w:type="dxa" w:w="70"/>
              <w:right w:type="dxa" w:w="110"/>
            </w:tcMar>
            <w:vAlign w:val="center"/>
          </w:tcPr>
          <w:p>
            <w:r>
              <w:rPr>
                <w:b/>
                <w:bCs/>
                <w:color w:val="1B2D45"/>
                <w:sz w:val="19"/>
                <w:szCs w:val="19"/>
              </w:rPr>
              <w:t xml:space="preserve">5 — Checks &amp; Balances</w:t>
            </w:r>
          </w:p>
        </w:tc>
        <w:tc>
          <w:tcPr>
            <w:tcW w:type="dxa" w:w="4310"/>
            <w:tcBorders>
              <w:top w:val="single" w:color="D6CFC3" w:sz="1"/>
              <w:left w:val="single" w:color="D6CFC3" w:sz="1"/>
              <w:bottom w:val="single" w:color="D6CFC3" w:sz="1"/>
              <w:right w:val="single" w:color="D6CFC3" w:sz="1"/>
            </w:tcBorders>
            <w:shd w:fill="FFFFFF" w:color="auto" w:val="clear"/>
            <w:tcMar>
              <w:top w:type="dxa" w:w="70"/>
              <w:left w:type="dxa" w:w="110"/>
              <w:bottom w:type="dxa" w:w="70"/>
              <w:right w:type="dxa" w:w="110"/>
            </w:tcMar>
            <w:vAlign w:val="center"/>
          </w:tcPr>
          <w:p>
            <w:r>
              <w:rPr>
                <w:sz w:val="18"/>
                <w:szCs w:val="18"/>
              </w:rPr>
              <w:t xml:space="preserve">C2.6-8.5 · C2.6-8.3 · C2.6-8.4 · H3.6-8.4 · SSS4.6-8.1</w:t>
            </w:r>
          </w:p>
        </w:tc>
        <w:tc>
          <w:tcPr>
            <w:tcW w:type="dxa" w:w="2900"/>
            <w:tcBorders>
              <w:top w:val="single" w:color="D6CFC3" w:sz="1"/>
              <w:left w:val="single" w:color="D6CFC3" w:sz="1"/>
              <w:bottom w:val="single" w:color="D6CFC3" w:sz="1"/>
              <w:right w:val="single" w:color="D6CFC3" w:sz="1"/>
            </w:tcBorders>
            <w:shd w:fill="FFFFFF" w:color="auto" w:val="clear"/>
            <w:tcMar>
              <w:top w:type="dxa" w:w="70"/>
              <w:left w:type="dxa" w:w="110"/>
              <w:bottom w:type="dxa" w:w="70"/>
              <w:right w:type="dxa" w:w="110"/>
            </w:tcMar>
            <w:vAlign w:val="center"/>
          </w:tcPr>
          <w:p>
            <w:r>
              <w:rPr>
                <w:color w:val="5C564E"/>
                <w:sz w:val="18"/>
                <w:szCs w:val="18"/>
              </w:rPr>
              <w:t xml:space="preserve">Branch scenarios = C2.6-8.5 (checks via an event). Treaty of Greenville CER = argument + perspective on tribal fairness.</w:t>
            </w:r>
          </w:p>
        </w:tc>
      </w:tr>
      <w:tr>
        <w:tc>
          <w:tcPr>
            <w:tcW w:type="dxa" w:w="2150"/>
            <w:tcBorders>
              <w:top w:val="single" w:color="D6CFC3" w:sz="1"/>
              <w:left w:val="single" w:color="D6CFC3" w:sz="1"/>
              <w:bottom w:val="single" w:color="D6CFC3" w:sz="1"/>
              <w:right w:val="single" w:color="D6CFC3" w:sz="1"/>
            </w:tcBorders>
            <w:shd w:fill="F5F0E8" w:color="auto" w:val="clear"/>
            <w:tcMar>
              <w:top w:type="dxa" w:w="70"/>
              <w:left w:type="dxa" w:w="110"/>
              <w:bottom w:type="dxa" w:w="70"/>
              <w:right w:type="dxa" w:w="110"/>
            </w:tcMar>
            <w:vAlign w:val="center"/>
          </w:tcPr>
          <w:p>
            <w:r>
              <w:rPr>
                <w:b/>
                <w:bCs/>
                <w:color w:val="1B2D45"/>
                <w:sz w:val="19"/>
                <w:szCs w:val="19"/>
              </w:rPr>
              <w:t xml:space="preserve">6 — SCOTUS</w:t>
            </w:r>
          </w:p>
        </w:tc>
        <w:tc>
          <w:tcPr>
            <w:tcW w:type="dxa" w:w="4310"/>
            <w:tcBorders>
              <w:top w:val="single" w:color="D6CFC3" w:sz="1"/>
              <w:left w:val="single" w:color="D6CFC3" w:sz="1"/>
              <w:bottom w:val="single" w:color="D6CFC3" w:sz="1"/>
              <w:right w:val="single" w:color="D6CFC3" w:sz="1"/>
            </w:tcBorders>
            <w:shd w:fill="F5F0E8" w:color="auto" w:val="clear"/>
            <w:tcMar>
              <w:top w:type="dxa" w:w="70"/>
              <w:left w:type="dxa" w:w="110"/>
              <w:bottom w:type="dxa" w:w="70"/>
              <w:right w:type="dxa" w:w="110"/>
            </w:tcMar>
            <w:vAlign w:val="center"/>
          </w:tcPr>
          <w:p>
            <w:r>
              <w:rPr>
                <w:sz w:val="18"/>
                <w:szCs w:val="18"/>
              </w:rPr>
              <w:t xml:space="preserve">C2.6-8.3 · C2.6-8.5 · C1.6-8.4 · C4.6-8.4 · SSS3.6-8.1 · SSS4.6-8.1</w:t>
            </w:r>
          </w:p>
        </w:tc>
        <w:tc>
          <w:tcPr>
            <w:tcW w:type="dxa" w:w="2900"/>
            <w:tcBorders>
              <w:top w:val="single" w:color="D6CFC3" w:sz="1"/>
              <w:left w:val="single" w:color="D6CFC3" w:sz="1"/>
              <w:bottom w:val="single" w:color="D6CFC3" w:sz="1"/>
              <w:right w:val="single" w:color="D6CFC3" w:sz="1"/>
            </w:tcBorders>
            <w:shd w:fill="F5F0E8" w:color="auto" w:val="clear"/>
            <w:tcMar>
              <w:top w:type="dxa" w:w="70"/>
              <w:left w:type="dxa" w:w="110"/>
              <w:bottom w:type="dxa" w:w="70"/>
              <w:right w:type="dxa" w:w="110"/>
            </w:tcMar>
            <w:vAlign w:val="center"/>
          </w:tcPr>
          <w:p>
            <w:r>
              <w:rPr>
                <w:color w:val="5C564E"/>
                <w:sz w:val="18"/>
                <w:szCs w:val="18"/>
              </w:rPr>
              <w:t xml:space="preserve">Judicial review + landmark cases = checks &amp; rights vs. reality. SCOTUS debate project = SSS3 deliberation.</w:t>
            </w:r>
          </w:p>
        </w:tc>
      </w:tr>
      <w:tr>
        <w:tc>
          <w:tcPr>
            <w:tcW w:type="dxa" w:w="2150"/>
            <w:tcBorders>
              <w:top w:val="single" w:color="D6CFC3" w:sz="1"/>
              <w:left w:val="single" w:color="D6CFC3" w:sz="1"/>
              <w:bottom w:val="single" w:color="D6CFC3" w:sz="1"/>
              <w:right w:val="single" w:color="D6CFC3" w:sz="1"/>
            </w:tcBorders>
            <w:shd w:fill="FFFFFF" w:color="auto" w:val="clear"/>
            <w:tcMar>
              <w:top w:type="dxa" w:w="70"/>
              <w:left w:type="dxa" w:w="110"/>
              <w:bottom w:type="dxa" w:w="70"/>
              <w:right w:type="dxa" w:w="110"/>
            </w:tcMar>
            <w:vAlign w:val="center"/>
          </w:tcPr>
          <w:p>
            <w:r>
              <w:rPr>
                <w:b/>
                <w:bCs/>
                <w:color w:val="1B2D45"/>
                <w:sz w:val="19"/>
                <w:szCs w:val="19"/>
              </w:rPr>
              <w:t xml:space="preserve">7 — The Early Republic</w:t>
            </w:r>
          </w:p>
        </w:tc>
        <w:tc>
          <w:tcPr>
            <w:tcW w:type="dxa" w:w="4310"/>
            <w:tcBorders>
              <w:top w:val="single" w:color="D6CFC3" w:sz="1"/>
              <w:left w:val="single" w:color="D6CFC3" w:sz="1"/>
              <w:bottom w:val="single" w:color="D6CFC3" w:sz="1"/>
              <w:right w:val="single" w:color="D6CFC3" w:sz="1"/>
            </w:tcBorders>
            <w:shd w:fill="FFFFFF" w:color="auto" w:val="clear"/>
            <w:tcMar>
              <w:top w:type="dxa" w:w="70"/>
              <w:left w:type="dxa" w:w="110"/>
              <w:bottom w:type="dxa" w:w="70"/>
              <w:right w:type="dxa" w:w="110"/>
            </w:tcMar>
            <w:vAlign w:val="center"/>
          </w:tcPr>
          <w:p>
            <w:r>
              <w:rPr>
                <w:sz w:val="18"/>
                <w:szCs w:val="18"/>
              </w:rPr>
              <w:t xml:space="preserve">H1.6-8.6 · H2.6-8.5 · H2.6-8.7 · C3.6-8.5 · C3.6-8.6 · G2.6-8.8(◐)</w:t>
            </w:r>
          </w:p>
        </w:tc>
        <w:tc>
          <w:tcPr>
            <w:tcW w:type="dxa" w:w="2900"/>
            <w:tcBorders>
              <w:top w:val="single" w:color="D6CFC3" w:sz="1"/>
              <w:left w:val="single" w:color="D6CFC3" w:sz="1"/>
              <w:bottom w:val="single" w:color="D6CFC3" w:sz="1"/>
              <w:right w:val="single" w:color="D6CFC3" w:sz="1"/>
            </w:tcBorders>
            <w:shd w:fill="FFFFFF" w:color="auto" w:val="clear"/>
            <w:tcMar>
              <w:top w:type="dxa" w:w="70"/>
              <w:left w:type="dxa" w:w="110"/>
              <w:bottom w:type="dxa" w:w="70"/>
              <w:right w:type="dxa" w:w="110"/>
            </w:tcMar>
            <w:vAlign w:val="center"/>
          </w:tcPr>
          <w:p>
            <w:r>
              <w:rPr>
                <w:color w:val="5C564E"/>
                <w:sz w:val="18"/>
                <w:szCs w:val="18"/>
              </w:rPr>
              <w:t xml:space="preserve">Best home for early foreign policy (C3.6-8.5/.6: War of 1812). Lewis &amp; Clark touches expansion. Prime spot to add economics (see ideas).</w:t>
            </w:r>
          </w:p>
        </w:tc>
      </w:tr>
      <w:tr>
        <w:tc>
          <w:tcPr>
            <w:tcW w:type="dxa" w:w="2150"/>
            <w:tcBorders>
              <w:top w:val="single" w:color="D6CFC3" w:sz="1"/>
              <w:left w:val="single" w:color="D6CFC3" w:sz="1"/>
              <w:bottom w:val="single" w:color="D6CFC3" w:sz="1"/>
              <w:right w:val="single" w:color="D6CFC3" w:sz="1"/>
            </w:tcBorders>
            <w:shd w:fill="F5F0E8" w:color="auto" w:val="clear"/>
            <w:tcMar>
              <w:top w:type="dxa" w:w="70"/>
              <w:left w:type="dxa" w:w="110"/>
              <w:bottom w:type="dxa" w:w="70"/>
              <w:right w:type="dxa" w:w="110"/>
            </w:tcMar>
            <w:vAlign w:val="center"/>
          </w:tcPr>
          <w:p>
            <w:r>
              <w:rPr>
                <w:b/>
                <w:bCs/>
                <w:color w:val="1B2D45"/>
                <w:sz w:val="19"/>
                <w:szCs w:val="19"/>
              </w:rPr>
              <w:t xml:space="preserve">8 — Westward Expansion</w:t>
            </w:r>
          </w:p>
        </w:tc>
        <w:tc>
          <w:tcPr>
            <w:tcW w:type="dxa" w:w="4310"/>
            <w:tcBorders>
              <w:top w:val="single" w:color="D6CFC3" w:sz="1"/>
              <w:left w:val="single" w:color="D6CFC3" w:sz="1"/>
              <w:bottom w:val="single" w:color="D6CFC3" w:sz="1"/>
              <w:right w:val="single" w:color="D6CFC3" w:sz="1"/>
            </w:tcBorders>
            <w:shd w:fill="F5F0E8" w:color="auto" w:val="clear"/>
            <w:tcMar>
              <w:top w:type="dxa" w:w="70"/>
              <w:left w:type="dxa" w:w="110"/>
              <w:bottom w:type="dxa" w:w="70"/>
              <w:right w:type="dxa" w:w="110"/>
            </w:tcMar>
            <w:vAlign w:val="center"/>
          </w:tcPr>
          <w:p>
            <w:r>
              <w:rPr>
                <w:sz w:val="18"/>
                <w:szCs w:val="18"/>
              </w:rPr>
              <w:t xml:space="preserve">G2.6-8.8 · G2.6-8.6 · G1.6-8.5 · H2.6-8.6 · H3.6-8.4 · H1.6-8.6 · C3.6-8.6(◐)</w:t>
            </w:r>
          </w:p>
        </w:tc>
        <w:tc>
          <w:tcPr>
            <w:tcW w:type="dxa" w:w="2900"/>
            <w:tcBorders>
              <w:top w:val="single" w:color="D6CFC3" w:sz="1"/>
              <w:left w:val="single" w:color="D6CFC3" w:sz="1"/>
              <w:bottom w:val="single" w:color="D6CFC3" w:sz="1"/>
              <w:right w:val="single" w:color="D6CFC3" w:sz="1"/>
            </w:tcBorders>
            <w:shd w:fill="F5F0E8" w:color="auto" w:val="clear"/>
            <w:tcMar>
              <w:top w:type="dxa" w:w="70"/>
              <w:left w:type="dxa" w:w="110"/>
              <w:bottom w:type="dxa" w:w="70"/>
              <w:right w:type="dxa" w:w="110"/>
            </w:tcMar>
            <w:vAlign w:val="center"/>
          </w:tcPr>
          <w:p>
            <w:r>
              <w:rPr>
                <w:color w:val="5C564E"/>
                <w:sz w:val="18"/>
                <w:szCs w:val="18"/>
              </w:rPr>
              <w:t xml:space="preserve">Manifest Destiny = migration as growth catalyst (G2.6-8.8). Indigenous &amp; Mexican perspectives = H3.6-8.4. Activities still “coming soon.”</w:t>
            </w:r>
          </w:p>
        </w:tc>
      </w:tr>
      <w:tr>
        <w:tc>
          <w:tcPr>
            <w:tcW w:type="dxa" w:w="2150"/>
            <w:tcBorders>
              <w:top w:val="single" w:color="D6CFC3" w:sz="1"/>
              <w:left w:val="single" w:color="D6CFC3" w:sz="1"/>
              <w:bottom w:val="single" w:color="D6CFC3" w:sz="1"/>
              <w:right w:val="single" w:color="D6CFC3" w:sz="1"/>
            </w:tcBorders>
            <w:shd w:fill="FFFFFF" w:color="auto" w:val="clear"/>
            <w:tcMar>
              <w:top w:type="dxa" w:w="70"/>
              <w:left w:type="dxa" w:w="110"/>
              <w:bottom w:type="dxa" w:w="70"/>
              <w:right w:type="dxa" w:w="110"/>
            </w:tcMar>
            <w:vAlign w:val="center"/>
          </w:tcPr>
          <w:p>
            <w:r>
              <w:rPr>
                <w:b/>
                <w:bCs/>
                <w:color w:val="1B2D45"/>
                <w:sz w:val="19"/>
                <w:szCs w:val="19"/>
              </w:rPr>
              <w:t xml:space="preserve">9 — The Civil War</w:t>
            </w:r>
          </w:p>
        </w:tc>
        <w:tc>
          <w:tcPr>
            <w:tcW w:type="dxa" w:w="4310"/>
            <w:tcBorders>
              <w:top w:val="single" w:color="D6CFC3" w:sz="1"/>
              <w:left w:val="single" w:color="D6CFC3" w:sz="1"/>
              <w:bottom w:val="single" w:color="D6CFC3" w:sz="1"/>
              <w:right w:val="single" w:color="D6CFC3" w:sz="1"/>
            </w:tcBorders>
            <w:shd w:fill="FFFFFF" w:color="auto" w:val="clear"/>
            <w:tcMar>
              <w:top w:type="dxa" w:w="70"/>
              <w:left w:type="dxa" w:w="110"/>
              <w:bottom w:type="dxa" w:w="70"/>
              <w:right w:type="dxa" w:w="110"/>
            </w:tcMar>
            <w:vAlign w:val="center"/>
          </w:tcPr>
          <w:p>
            <w:r>
              <w:rPr>
                <w:sz w:val="18"/>
                <w:szCs w:val="18"/>
              </w:rPr>
              <w:t xml:space="preserve">H1.6-8.6 · H2.6-8.5/.6/.7 · H3.6-8.5 · E4.6-8.5 · E2.6-8.5(◐) · C1.6-8.4</w:t>
            </w:r>
          </w:p>
        </w:tc>
        <w:tc>
          <w:tcPr>
            <w:tcW w:type="dxa" w:w="2900"/>
            <w:tcBorders>
              <w:top w:val="single" w:color="D6CFC3" w:sz="1"/>
              <w:left w:val="single" w:color="D6CFC3" w:sz="1"/>
              <w:bottom w:val="single" w:color="D6CFC3" w:sz="1"/>
              <w:right w:val="single" w:color="D6CFC3" w:sz="1"/>
            </w:tcBorders>
            <w:shd w:fill="FFFFFF" w:color="auto" w:val="clear"/>
            <w:tcMar>
              <w:top w:type="dxa" w:w="70"/>
              <w:left w:type="dxa" w:w="110"/>
              <w:bottom w:type="dxa" w:w="70"/>
              <w:right w:type="dxa" w:w="110"/>
            </w:tcMar>
            <w:vAlign w:val="center"/>
          </w:tcPr>
          <w:p>
            <w:r>
              <w:rPr>
                <w:color w:val="5C564E"/>
                <w:sz w:val="18"/>
                <w:szCs w:val="18"/>
              </w:rPr>
              <w:t xml:space="preserve">Slavery &amp; wealth/resources = E4.6-8.5. Sectionalism is an open door for tariff/trade economics (E2/E3/E4).</w:t>
            </w:r>
          </w:p>
        </w:tc>
      </w:tr>
      <w:tr>
        <w:tc>
          <w:tcPr>
            <w:tcW w:type="dxa" w:w="2150"/>
            <w:tcBorders>
              <w:top w:val="single" w:color="D6CFC3" w:sz="1"/>
              <w:left w:val="single" w:color="D6CFC3" w:sz="1"/>
              <w:bottom w:val="single" w:color="D6CFC3" w:sz="1"/>
              <w:right w:val="single" w:color="D6CFC3" w:sz="1"/>
            </w:tcBorders>
            <w:shd w:fill="F5F0E8" w:color="auto" w:val="clear"/>
            <w:tcMar>
              <w:top w:type="dxa" w:w="70"/>
              <w:left w:type="dxa" w:w="110"/>
              <w:bottom w:type="dxa" w:w="70"/>
              <w:right w:type="dxa" w:w="110"/>
            </w:tcMar>
            <w:vAlign w:val="center"/>
          </w:tcPr>
          <w:p>
            <w:r>
              <w:rPr>
                <w:b/>
                <w:bCs/>
                <w:color w:val="1B2D45"/>
                <w:sz w:val="19"/>
                <w:szCs w:val="19"/>
              </w:rPr>
              <w:t xml:space="preserve">Capstones 1 &amp; 2</w:t>
            </w:r>
          </w:p>
        </w:tc>
        <w:tc>
          <w:tcPr>
            <w:tcW w:type="dxa" w:w="4310"/>
            <w:tcBorders>
              <w:top w:val="single" w:color="D6CFC3" w:sz="1"/>
              <w:left w:val="single" w:color="D6CFC3" w:sz="1"/>
              <w:bottom w:val="single" w:color="D6CFC3" w:sz="1"/>
              <w:right w:val="single" w:color="D6CFC3" w:sz="1"/>
            </w:tcBorders>
            <w:shd w:fill="F5F0E8" w:color="auto" w:val="clear"/>
            <w:tcMar>
              <w:top w:type="dxa" w:w="70"/>
              <w:left w:type="dxa" w:w="110"/>
              <w:bottom w:type="dxa" w:w="70"/>
              <w:right w:type="dxa" w:w="110"/>
            </w:tcMar>
            <w:vAlign w:val="center"/>
          </w:tcPr>
          <w:p>
            <w:r>
              <w:rPr>
                <w:sz w:val="18"/>
                <w:szCs w:val="18"/>
              </w:rPr>
              <w:t xml:space="preserve">SSS4.6-8.1 · SSS4.6-8.2 · H4.6-8.3(◐)</w:t>
            </w:r>
          </w:p>
        </w:tc>
        <w:tc>
          <w:tcPr>
            <w:tcW w:type="dxa" w:w="2900"/>
            <w:tcBorders>
              <w:top w:val="single" w:color="D6CFC3" w:sz="1"/>
              <w:left w:val="single" w:color="D6CFC3" w:sz="1"/>
              <w:bottom w:val="single" w:color="D6CFC3" w:sz="1"/>
              <w:right w:val="single" w:color="D6CFC3" w:sz="1"/>
            </w:tcBorders>
            <w:shd w:fill="F5F0E8" w:color="auto" w:val="clear"/>
            <w:tcMar>
              <w:top w:type="dxa" w:w="70"/>
              <w:left w:type="dxa" w:w="110"/>
              <w:bottom w:type="dxa" w:w="70"/>
              <w:right w:type="dxa" w:w="110"/>
            </w:tcMar>
            <w:vAlign w:val="center"/>
          </w:tcPr>
          <w:p>
            <w:r>
              <w:rPr>
                <w:color w:val="5C564E"/>
                <w:sz w:val="18"/>
                <w:szCs w:val="18"/>
              </w:rPr>
              <w:t xml:space="preserve">Synthesis products = SSS4. Currently “details coming soon” — ideal place to add the civic-action piece (see Project C).</w:t>
            </w:r>
          </w:p>
        </w:tc>
      </w:tr>
    </w:tbl>
    <w:p>
      <w:r>
        <w:br w:type="page"/>
      </w:r>
    </w:p>
    <w:p>
      <w:pPr>
        <w:pStyle w:val="Heading1"/>
      </w:pPr>
      <w:r>
        <w:t xml:space="preserve">Gap analysis (prioritized)</w:t>
      </w:r>
    </w:p>
    <w:p>
      <w:r>
        <w:t xml:space="preserve">These are the Grade 8 / U.S. standards that are currently light or missing, ordered by how much instructional value you’d gain by addressing them.</w:t>
      </w:r>
    </w:p>
    <w:p>
      <w:pPr>
        <w:pStyle w:val="Heading2"/>
      </w:pPr>
      <w:r>
        <w:t xml:space="preserve">Priority 1 — Economics (whole strand is thin)</w:t>
      </w:r>
    </w:p>
    <w:p>
      <w:r>
        <w:t xml:space="preserve">Only </w:t>
      </w:r>
      <w:r>
        <w:rPr>
          <w:b/>
          <w:bCs/>
        </w:rPr>
        <w:t xml:space="preserve">E4.6-8.5</w:t>
      </w:r>
      <w:r>
        <w:t xml:space="preserve"> (slavery, wealth, and resources in the Civil War unit) is clearly taught. These four are light or missing:</w:t>
      </w:r>
    </w:p>
    <w:p>
      <w:pPr>
        <w:pStyle w:val="ListParagraph"/>
        <w:numPr>
          <w:ilvl w:val="0"/>
          <w:numId w:val="2"/>
        </w:numPr>
      </w:pPr>
      <w:r>
        <w:rPr>
          <w:b/>
          <w:bCs/>
        </w:rPr>
        <w:t xml:space="preserve">E3.6-8.3</w:t>
      </w:r>
      <w:r>
        <w:t xml:space="preserve"> — U.S. government taxation, currency, and tariffs. </w:t>
      </w:r>
      <w:r>
        <w:rPr>
          <w:b/>
          <w:bCs/>
          <w:color w:val="C75B2A"/>
        </w:rPr>
        <w:t xml:space="preserve">(Gap)</w:t>
      </w:r>
    </w:p>
    <w:p>
      <w:pPr>
        <w:pStyle w:val="ListParagraph"/>
        <w:numPr>
          <w:ilvl w:val="0"/>
          <w:numId w:val="2"/>
        </w:numPr>
      </w:pPr>
      <w:r>
        <w:rPr>
          <w:b/>
          <w:bCs/>
        </w:rPr>
        <w:t xml:space="preserve">E2.6-8.6</w:t>
      </w:r>
      <w:r>
        <w:t xml:space="preserve"> — supply &amp; demand in U.S. international trade. </w:t>
      </w:r>
      <w:r>
        <w:rPr>
          <w:b/>
          <w:bCs/>
          <w:color w:val="C75B2A"/>
        </w:rPr>
        <w:t xml:space="preserve">(Gap)</w:t>
      </w:r>
    </w:p>
    <w:p>
      <w:pPr>
        <w:pStyle w:val="ListParagraph"/>
        <w:numPr>
          <w:ilvl w:val="0"/>
          <w:numId w:val="2"/>
        </w:numPr>
      </w:pPr>
      <w:r>
        <w:rPr>
          <w:b/>
          <w:bCs/>
        </w:rPr>
        <w:t xml:space="preserve">E4.6-8.6</w:t>
      </w:r>
      <w:r>
        <w:t xml:space="preserve"> — costs &amp; benefits of U.S. trade policies. </w:t>
      </w:r>
      <w:r>
        <w:rPr>
          <w:b/>
          <w:bCs/>
          <w:color w:val="C75B2A"/>
        </w:rPr>
        <w:t xml:space="preserve">(Gap)</w:t>
      </w:r>
    </w:p>
    <w:p>
      <w:pPr>
        <w:pStyle w:val="ListParagraph"/>
        <w:numPr>
          <w:ilvl w:val="0"/>
          <w:numId w:val="2"/>
        </w:numPr>
      </w:pPr>
      <w:r>
        <w:rPr>
          <w:b/>
          <w:bCs/>
        </w:rPr>
        <w:t xml:space="preserve">E1.6-8.3</w:t>
      </w:r>
      <w:r>
        <w:t xml:space="preserve"> — weighing profit against personal values in economic choices. </w:t>
      </w:r>
      <w:r>
        <w:rPr>
          <w:color w:val="B8893B"/>
        </w:rPr>
        <w:t xml:space="preserve">(Light — implied in the Triangle Trade simulation)</w:t>
      </w:r>
    </w:p>
    <w:p>
      <w:r>
        <w:rPr>
          <w:i/>
          <w:iCs/>
          <w:color w:val="5C564E"/>
        </w:rPr>
        <w:t xml:space="preserve">Good news: you don’t need a new unit. The Early Republic (Hamilton’s financial plan, tariffs, the Whiskey Rebellion) and the Civil War (cotton economy, Tariff of Abominations, sectionalism) are natural homes — see Projects A and B.</w:t>
      </w:r>
    </w:p>
    <w:p>
      <w:pPr>
        <w:pStyle w:val="Heading2"/>
      </w:pPr>
      <w:r>
        <w:t xml:space="preserve">Priority 2 — Civic action on a national issue</w:t>
      </w:r>
    </w:p>
    <w:p>
      <w:pPr>
        <w:pStyle w:val="ListParagraph"/>
        <w:numPr>
          <w:ilvl w:val="0"/>
          <w:numId w:val="2"/>
        </w:numPr>
      </w:pPr>
      <w:r>
        <w:rPr>
          <w:b/>
          <w:bCs/>
        </w:rPr>
        <w:t xml:space="preserve">C4.6-8.5</w:t>
      </w:r>
      <w:r>
        <w:t xml:space="preserve"> — </w:t>
      </w:r>
      <w:r>
        <w:rPr>
          <w:i/>
          <w:iCs/>
        </w:rPr>
        <w:t xml:space="preserve">employ strategies for civic involvement that address a national issue.</w:t>
      </w:r>
      <w:r>
        <w:t xml:space="preserve">  </w:t>
      </w:r>
      <w:r>
        <w:rPr>
          <w:b/>
          <w:bCs/>
          <w:color w:val="C75B2A"/>
        </w:rPr>
        <w:t xml:space="preserve">(Gap)</w:t>
      </w:r>
    </w:p>
    <w:p>
      <w:r>
        <w:t xml:space="preserve">You teach civic knowledge thoroughly, but students don’t yet </w:t>
      </w:r>
      <w:r>
        <w:rPr>
          <w:i/>
          <w:iCs/>
        </w:rPr>
        <w:t xml:space="preserve">practice</w:t>
      </w:r>
      <w:r>
        <w:t xml:space="preserve"> civic action on a current national issue. This is the standard’s “do-civics” expectation, and it pairs perfectly with the Semester 2 capstone (Project C).</w:t>
      </w:r>
    </w:p>
    <w:p>
      <w:pPr>
        <w:pStyle w:val="Heading2"/>
      </w:pPr>
      <w:r>
        <w:t xml:space="preserve">Priority 3 — Geography &amp; history-to-today connectors</w:t>
      </w:r>
    </w:p>
    <w:p>
      <w:pPr>
        <w:pStyle w:val="ListParagraph"/>
        <w:numPr>
          <w:ilvl w:val="0"/>
          <w:numId w:val="2"/>
        </w:numPr>
      </w:pPr>
      <w:r>
        <w:rPr>
          <w:b/>
          <w:bCs/>
        </w:rPr>
        <w:t xml:space="preserve">G2.6-8.7</w:t>
      </w:r>
      <w:r>
        <w:t xml:space="preserve"> — cultural diffusion in the U.S. </w:t>
      </w:r>
      <w:r>
        <w:rPr>
          <w:b/>
          <w:bCs/>
          <w:color w:val="B8893B"/>
        </w:rPr>
        <w:t xml:space="preserve">(Light)</w:t>
      </w:r>
    </w:p>
    <w:p>
      <w:pPr>
        <w:pStyle w:val="ListParagraph"/>
        <w:numPr>
          <w:ilvl w:val="0"/>
          <w:numId w:val="2"/>
        </w:numPr>
      </w:pPr>
      <w:r>
        <w:rPr>
          <w:b/>
          <w:bCs/>
        </w:rPr>
        <w:t xml:space="preserve">G3.6-8.3</w:t>
      </w:r>
      <w:r>
        <w:t xml:space="preserve"> — using U.S. geography to understand diversity, trade, and sustainability. </w:t>
      </w:r>
      <w:r>
        <w:rPr>
          <w:b/>
          <w:bCs/>
          <w:color w:val="B8893B"/>
        </w:rPr>
        <w:t xml:space="preserve">(Light)</w:t>
      </w:r>
    </w:p>
    <w:p>
      <w:pPr>
        <w:pStyle w:val="ListParagraph"/>
        <w:numPr>
          <w:ilvl w:val="0"/>
          <w:numId w:val="2"/>
        </w:numPr>
      </w:pPr>
      <w:r>
        <w:rPr>
          <w:b/>
          <w:bCs/>
        </w:rPr>
        <w:t xml:space="preserve">G1.6-8.6</w:t>
      </w:r>
      <w:r>
        <w:t xml:space="preserve"> — using maps/images to explain political, cultural &amp; economic dynamics. </w:t>
      </w:r>
      <w:r>
        <w:rPr>
          <w:b/>
          <w:bCs/>
          <w:color w:val="B8893B"/>
        </w:rPr>
        <w:t xml:space="preserve">(Light)</w:t>
      </w:r>
    </w:p>
    <w:p>
      <w:pPr>
        <w:pStyle w:val="ListParagraph"/>
        <w:numPr>
          <w:ilvl w:val="0"/>
          <w:numId w:val="2"/>
        </w:numPr>
      </w:pPr>
      <w:r>
        <w:rPr>
          <w:b/>
          <w:bCs/>
        </w:rPr>
        <w:t xml:space="preserve">H4.6-8.3</w:t>
      </w:r>
      <w:r>
        <w:t xml:space="preserve"> — connecting a historical event to a contemporary issue. </w:t>
      </w:r>
      <w:r>
        <w:rPr>
          <w:b/>
          <w:bCs/>
          <w:color w:val="B8893B"/>
        </w:rPr>
        <w:t xml:space="preserve">(Light — mostly in capstones)</w:t>
      </w:r>
    </w:p>
    <w:p>
      <w:r>
        <w:br w:type="page"/>
      </w:r>
    </w:p>
    <w:p>
      <w:pPr>
        <w:pStyle w:val="Heading1"/>
      </w:pPr>
      <w:r>
        <w:t xml:space="preserve">Project &amp; next-year ideas</w:t>
      </w:r>
    </w:p>
    <w:p>
      <w:r>
        <w:t xml:space="preserve">Each idea names the gap it closes and, where possible, builds on something already on your site. Roughly ordered from biggest payoff to quickest win.</w:t>
      </w:r>
    </w:p>
    <w:p>
      <w:pPr>
        <w:pBdr>
          <w:bottom w:val="single" w:color="4A6741" w:sz="4" w:space="4"/>
        </w:pBdr>
        <w:spacing w:after="20" w:before="160"/>
      </w:pPr>
      <w:r>
        <w:rPr>
          <w:b/>
          <w:bCs/>
          <w:color w:val="4A6741"/>
          <w:sz w:val="24"/>
          <w:szCs w:val="24"/>
        </w:rPr>
        <w:t xml:space="preserve">Project A — </w:t>
      </w:r>
      <w:r>
        <w:rPr>
          <w:b/>
          <w:bCs/>
          <w:color w:val="1B2D45"/>
          <w:sz w:val="24"/>
          <w:szCs w:val="24"/>
        </w:rPr>
        <w:t xml:space="preserve">“You’re the Treasury Secretary” — Founding an Economy (Early Republic)</w:t>
      </w:r>
    </w:p>
    <w:p>
      <w:pPr>
        <w:spacing w:after="40"/>
      </w:pPr>
      <w:r>
        <w:rPr>
          <w:b/>
          <w:bCs/>
          <w:color w:val="C75B2A"/>
          <w:sz w:val="19"/>
          <w:szCs w:val="19"/>
        </w:rPr>
        <w:t xml:space="preserve">Closes: </w:t>
      </w:r>
      <w:r>
        <w:rPr>
          <w:sz w:val="19"/>
          <w:szCs w:val="19"/>
        </w:rPr>
        <w:t xml:space="preserve">E3.6-8.3, E2.6-8.6, E4.6-8.6, E1.6-8.3, H2.6-8.7</w:t>
      </w:r>
    </w:p>
    <w:p>
      <w:r>
        <w:t xml:space="preserve">A short decision-simulation built around Hamilton’s financial plan: the national bank, assuming state debts, the first tariffs, and the whiskey tax that sparked rebellion. Students role-play cabinet advisors weighing competing economic and political interests, then defend a recommendation. This single project lands four of your five economics gaps and reinforces “technology &amp; ideas” causation.</w:t>
      </w:r>
    </w:p>
    <w:p>
      <w:r>
        <w:rPr>
          <w:b/>
          <w:bCs/>
          <w:i/>
          <w:iCs/>
          <w:color w:val="5C564E"/>
          <w:sz w:val="19"/>
          <w:szCs w:val="19"/>
        </w:rPr>
        <w:t xml:space="preserve">Builds on: </w:t>
      </w:r>
      <w:r>
        <w:rPr>
          <w:i/>
          <w:iCs/>
          <w:color w:val="5C564E"/>
          <w:sz w:val="19"/>
          <w:szCs w:val="19"/>
        </w:rPr>
        <w:t xml:space="preserve">the Hamilton musical study already in Unit 4 — extend that interest into the actual economic policy fights of the 1790s.</w:t>
      </w:r>
    </w:p>
    <w:p>
      <w:pPr>
        <w:pBdr>
          <w:bottom w:val="single" w:color="4A6741" w:sz="4" w:space="4"/>
        </w:pBdr>
        <w:spacing w:after="20" w:before="160"/>
      </w:pPr>
      <w:r>
        <w:rPr>
          <w:b/>
          <w:bCs/>
          <w:color w:val="4A6741"/>
          <w:sz w:val="24"/>
          <w:szCs w:val="24"/>
        </w:rPr>
        <w:t xml:space="preserve">Project B — </w:t>
      </w:r>
      <w:r>
        <w:rPr>
          <w:b/>
          <w:bCs/>
          <w:color w:val="1B2D45"/>
          <w:sz w:val="24"/>
          <w:szCs w:val="24"/>
        </w:rPr>
        <w:t xml:space="preserve">Tariffs, Cotton &amp; Sectionalism economic lens (Civil War)</w:t>
      </w:r>
    </w:p>
    <w:p>
      <w:pPr>
        <w:spacing w:after="40"/>
      </w:pPr>
      <w:r>
        <w:rPr>
          <w:b/>
          <w:bCs/>
          <w:color w:val="C75B2A"/>
          <w:sz w:val="19"/>
          <w:szCs w:val="19"/>
        </w:rPr>
        <w:t xml:space="preserve">Closes: </w:t>
      </w:r>
      <w:r>
        <w:rPr>
          <w:sz w:val="19"/>
          <w:szCs w:val="19"/>
        </w:rPr>
        <w:t xml:space="preserve">E2.6-8.5, E2.6-8.6, E4.6-8.6, H3.6-8.5</w:t>
      </w:r>
    </w:p>
    <w:p>
      <w:r>
        <w:t xml:space="preserve">Add an explicit economic analysis to the run-up to war: the cotton economy and enslaved labor as a supply-and-demand system, the “Tariff of Abominations,” and how Northern and Southern economic interests deepened sectional conflict. Strengthens both the economics strand and your causal-argument standard about why the nation split.</w:t>
      </w:r>
    </w:p>
    <w:p>
      <w:r>
        <w:rPr>
          <w:b/>
          <w:bCs/>
          <w:i/>
          <w:iCs/>
          <w:color w:val="5C564E"/>
          <w:sz w:val="19"/>
          <w:szCs w:val="19"/>
        </w:rPr>
        <w:t xml:space="preserve">Builds on: </w:t>
      </w:r>
      <w:r>
        <w:rPr>
          <w:i/>
          <w:iCs/>
          <w:color w:val="5C564E"/>
          <w:sz w:val="19"/>
          <w:szCs w:val="19"/>
        </w:rPr>
        <w:t xml:space="preserve">your existing Sectional Crisis reading (Ch. 13) and Civil War causation focus.</w:t>
      </w:r>
    </w:p>
    <w:p>
      <w:pPr>
        <w:pBdr>
          <w:bottom w:val="single" w:color="C75B2A" w:sz="4" w:space="4"/>
        </w:pBdr>
        <w:spacing w:after="20" w:before="160"/>
      </w:pPr>
      <w:r>
        <w:rPr>
          <w:b/>
          <w:bCs/>
          <w:color w:val="C75B2A"/>
          <w:sz w:val="24"/>
          <w:szCs w:val="24"/>
        </w:rPr>
        <w:t xml:space="preserve">Project C — </w:t>
      </w:r>
      <w:r>
        <w:rPr>
          <w:b/>
          <w:bCs/>
          <w:color w:val="1B2D45"/>
          <w:sz w:val="24"/>
          <w:szCs w:val="24"/>
        </w:rPr>
        <w:t xml:space="preserve">Civic Action Capstone (Semester 2)</w:t>
      </w:r>
    </w:p>
    <w:p>
      <w:pPr>
        <w:spacing w:after="40"/>
      </w:pPr>
      <w:r>
        <w:rPr>
          <w:b/>
          <w:bCs/>
          <w:color w:val="C75B2A"/>
          <w:sz w:val="19"/>
          <w:szCs w:val="19"/>
        </w:rPr>
        <w:t xml:space="preserve">Closes: </w:t>
      </w:r>
      <w:r>
        <w:rPr>
          <w:sz w:val="19"/>
          <w:szCs w:val="19"/>
        </w:rPr>
        <w:t xml:space="preserve">C4.6-8.5, C4.6-8.4, H4.6-8.3, SSS3.6-8.1, SSS4.6-8.1</w:t>
      </w:r>
    </w:p>
    <w:p>
      <w:r>
        <w:t xml:space="preserve">Replace the “coming soon” Semester 2 capstone with a civic-action project: each student picks a present-day national issue with deep historical roots from the year (voting rights, treaty rights, immigration, free expression), builds an evidence-based claim, and produces a real advocacy product — an op-ed, a letter to a representative, or a short PSA. This is the most efficient single addition in this document: it closes the biggest civics gap (C4.6-8.5), the history-to-today gap (H4.6-8.3), and gives your strong skills work a culminating home.</w:t>
      </w:r>
    </w:p>
    <w:p>
      <w:r>
        <w:rPr>
          <w:b/>
          <w:bCs/>
          <w:i/>
          <w:iCs/>
          <w:color w:val="5C564E"/>
          <w:sz w:val="19"/>
          <w:szCs w:val="19"/>
        </w:rPr>
        <w:t xml:space="preserve">Builds on: </w:t>
      </w:r>
      <w:r>
        <w:rPr>
          <w:i/>
          <w:iCs/>
          <w:color w:val="5C564E"/>
          <w:sz w:val="19"/>
          <w:szCs w:val="19"/>
        </w:rPr>
        <w:t xml:space="preserve">the existing Capstone 2 synthesis slot and your year-long “whose voice is heard?” throughline.</w:t>
      </w:r>
    </w:p>
    <w:p>
      <w:pPr>
        <w:pBdr>
          <w:bottom w:val="single" w:color="1B2D45" w:sz="4" w:space="4"/>
        </w:pBdr>
        <w:spacing w:after="20" w:before="160"/>
      </w:pPr>
      <w:r>
        <w:rPr>
          <w:b/>
          <w:bCs/>
          <w:color w:val="1B2D45"/>
          <w:sz w:val="24"/>
          <w:szCs w:val="24"/>
        </w:rPr>
        <w:t xml:space="preserve">Project D — </w:t>
      </w:r>
      <w:r>
        <w:rPr>
          <w:b/>
          <w:bCs/>
          <w:color w:val="1B2D45"/>
          <w:sz w:val="24"/>
          <w:szCs w:val="24"/>
        </w:rPr>
        <w:t xml:space="preserve">Map a Changing Nation (Westward Expansion)</w:t>
      </w:r>
    </w:p>
    <w:p>
      <w:pPr>
        <w:spacing w:after="40"/>
      </w:pPr>
      <w:r>
        <w:rPr>
          <w:b/>
          <w:bCs/>
          <w:color w:val="C75B2A"/>
          <w:sz w:val="19"/>
          <w:szCs w:val="19"/>
        </w:rPr>
        <w:t xml:space="preserve">Closes: </w:t>
      </w:r>
      <w:r>
        <w:rPr>
          <w:sz w:val="19"/>
          <w:szCs w:val="19"/>
        </w:rPr>
        <w:t xml:space="preserve">G1.6-8.6, G2.6-8.7, G3.6-8.3</w:t>
      </w:r>
    </w:p>
    <w:p>
      <w:r>
        <w:t xml:space="preserve">Unit 8 currently shows “activities coming soon.” A layered-map activity — overlaying territorial growth, migration routes, Indigenous nations, and resource/trade patterns — lets students use maps to explain political, cultural, and economic dynamics, and to trace cultural diffusion as peoples meet in the West. Fills three geography gaps and a content hole at once.</w:t>
      </w:r>
    </w:p>
    <w:p>
      <w:r>
        <w:rPr>
          <w:b/>
          <w:bCs/>
          <w:i/>
          <w:iCs/>
          <w:color w:val="5C564E"/>
          <w:sz w:val="19"/>
          <w:szCs w:val="19"/>
        </w:rPr>
        <w:t xml:space="preserve">Builds on: </w:t>
      </w:r>
      <w:r>
        <w:rPr>
          <w:i/>
          <w:iCs/>
          <w:color w:val="5C564E"/>
          <w:sz w:val="19"/>
          <w:szCs w:val="19"/>
        </w:rPr>
        <w:t xml:space="preserve">the existing Westward Expansion unit and its Indigenous/Mexican-perspective questions.</w:t>
      </w:r>
    </w:p>
    <w:p>
      <w:pPr>
        <w:pBdr>
          <w:bottom w:val="single" w:color="B8893B" w:sz="4" w:space="4"/>
        </w:pBdr>
        <w:spacing w:after="20" w:before="160"/>
      </w:pPr>
      <w:r>
        <w:rPr>
          <w:b/>
          <w:bCs/>
          <w:color w:val="B8893B"/>
          <w:sz w:val="24"/>
          <w:szCs w:val="24"/>
        </w:rPr>
        <w:t xml:space="preserve">Project E — </w:t>
      </w:r>
      <w:r>
        <w:rPr>
          <w:b/>
          <w:bCs/>
          <w:color w:val="1B2D45"/>
          <w:sz w:val="24"/>
          <w:szCs w:val="24"/>
        </w:rPr>
        <w:t xml:space="preserve">“Then &amp; Now” unit closers (recurring routine)</w:t>
      </w:r>
    </w:p>
    <w:p>
      <w:pPr>
        <w:spacing w:after="40"/>
      </w:pPr>
      <w:r>
        <w:rPr>
          <w:b/>
          <w:bCs/>
          <w:color w:val="C75B2A"/>
          <w:sz w:val="19"/>
          <w:szCs w:val="19"/>
        </w:rPr>
        <w:t xml:space="preserve">Closes: </w:t>
      </w:r>
      <w:r>
        <w:rPr>
          <w:sz w:val="19"/>
          <w:szCs w:val="19"/>
        </w:rPr>
        <w:t xml:space="preserve">H4.6-8.3 (distributed across the year)</w:t>
      </w:r>
    </w:p>
    <w:p>
      <w:r>
        <w:t xml:space="preserve">A low-lift five-minute closer at the end of each unit: one prompt connecting that era’s event to a current issue. Spreading H4.6-8.3 across all units (instead of saving it for the capstone) builds the habit of present-relevance and gives you repeated, lightweight evidence of the standard.</w:t>
      </w:r>
    </w:p>
    <w:p>
      <w:r>
        <w:rPr>
          <w:b/>
          <w:bCs/>
          <w:i/>
          <w:iCs/>
          <w:color w:val="5C564E"/>
          <w:sz w:val="19"/>
          <w:szCs w:val="19"/>
        </w:rPr>
        <w:t xml:space="preserve">Builds on: </w:t>
      </w:r>
      <w:r>
        <w:rPr>
          <w:i/>
          <w:iCs/>
          <w:color w:val="5C564E"/>
          <w:sz w:val="19"/>
          <w:szCs w:val="19"/>
        </w:rPr>
        <w:t xml:space="preserve">nothing new required — slots into units you already teach.</w:t>
      </w:r>
    </w:p>
    <w:p>
      <w:pPr>
        <w:pBdr>
          <w:bottom w:val="single" w:color="6B4C8A" w:sz="4" w:space="4"/>
        </w:pBdr>
        <w:spacing w:after="20" w:before="160"/>
      </w:pPr>
      <w:r>
        <w:rPr>
          <w:b/>
          <w:bCs/>
          <w:color w:val="6B4C8A"/>
          <w:sz w:val="24"/>
          <w:szCs w:val="24"/>
        </w:rPr>
        <w:t xml:space="preserve">Project F — </w:t>
      </w:r>
      <w:r>
        <w:rPr>
          <w:b/>
          <w:bCs/>
          <w:color w:val="1B2D45"/>
          <w:sz w:val="24"/>
          <w:szCs w:val="24"/>
        </w:rPr>
        <w:t xml:space="preserve">Activate 7th-grade treaty knowledge (vertical articulation)</w:t>
      </w:r>
    </w:p>
    <w:p>
      <w:pPr>
        <w:spacing w:after="40"/>
      </w:pPr>
      <w:r>
        <w:rPr>
          <w:b/>
          <w:bCs/>
          <w:color w:val="C75B2A"/>
          <w:sz w:val="19"/>
          <w:szCs w:val="19"/>
        </w:rPr>
        <w:t xml:space="preserve">Closes: </w:t>
      </w:r>
      <w:r>
        <w:rPr>
          <w:sz w:val="19"/>
          <w:szCs w:val="19"/>
        </w:rPr>
        <w:t xml:space="preserve">C3.6-8.3, C3.6-8.4 (Gr. 7 prior knowledge) → C1.6-8.4, H3.6-8.4</w:t>
      </w:r>
    </w:p>
    <w:p>
      <w:r>
        <w:t xml:space="preserve">Your students arrive from 7th-grade Washington State History, where they studied tribal treaties and treaty rights as “the supreme law of the land.” Your Treaty of Greenville CER and the Native Nations thread in the Constitution unit are perfect moments to explicitly call back to that prior learning. A quick “remember from 7th grade…” move strengthens both the analysis and your department’s 6–7–8 coherence.</w:t>
      </w:r>
    </w:p>
    <w:p>
      <w:r>
        <w:rPr>
          <w:b/>
          <w:bCs/>
          <w:i/>
          <w:iCs/>
          <w:color w:val="5C564E"/>
          <w:sz w:val="19"/>
          <w:szCs w:val="19"/>
        </w:rPr>
        <w:t xml:space="preserve">Builds on: </w:t>
      </w:r>
      <w:r>
        <w:rPr>
          <w:i/>
          <w:iCs/>
          <w:color w:val="5C564E"/>
          <w:sz w:val="19"/>
          <w:szCs w:val="19"/>
        </w:rPr>
        <w:t xml:space="preserve">the Treaty of Greenville CER (Unit 5) and Native Nations content (Unit 4).</w:t>
      </w:r>
    </w:p>
    <w:p>
      <w:pPr>
        <w:pStyle w:val="Heading2"/>
      </w:pPr>
      <w:r>
        <w:t xml:space="preserve">Sequencing suggestion</w:t>
      </w:r>
    </w:p>
    <w:p>
      <w:r>
        <w:rPr>
          <w:b/>
          <w:bCs/>
        </w:rPr>
        <w:t xml:space="preserve">Quick wins for this year: </w:t>
      </w:r>
      <w:r>
        <w:t xml:space="preserve">Projects E and F (routines/call-backs) and the profit-vs-values reflection from Project A’s economics framing — all low-prep.</w:t>
      </w:r>
    </w:p>
    <w:p>
      <w:r>
        <w:rPr>
          <w:b/>
          <w:bCs/>
        </w:rPr>
        <w:t xml:space="preserve">Bigger builds for next year: </w:t>
      </w:r>
      <w:r>
        <w:t xml:space="preserve">Project C (Civic Action Capstone) first — highest payoff — then Project A (Founding an Economy) and Project D (Westward maps), both of which also fill units currently marked “coming soon.”</w:t>
      </w:r>
    </w:p>
    <w:p>
      <w:r>
        <w:br w:type="page"/>
      </w:r>
    </w:p>
    <w:p>
      <w:pPr>
        <w:pStyle w:val="Heading1"/>
      </w:pPr>
      <w:r>
        <w:t xml:space="preserve">Appendix: the Grade 8 / U.S. standard set</w:t>
      </w:r>
    </w:p>
    <w:p>
      <w:pPr>
        <w:spacing w:after="100"/>
      </w:pPr>
      <w:r>
        <w:rPr>
          <w:i/>
          <w:iCs/>
          <w:color w:val="5C564E"/>
          <w:sz w:val="19"/>
          <w:szCs w:val="19"/>
        </w:rPr>
        <w:t xml:space="preserve">The full list of WA 8th-grade (U.S.-focus) standards your course is responsible for, with current coverage. ● strong · ◐ light · ○ gap. Skills (SSS) apply across grades 6–8.</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6000"/>
        <w:gridCol w:w="1860"/>
      </w:tblGrid>
      <w:tr>
        <w:trPr>
          <w:tblHeader/>
        </w:trPr>
        <w:tc>
          <w:tcPr>
            <w:tcW w:type="dxa" w:w="1500"/>
            <w:tcBorders>
              <w:top w:val="single" w:color="D6CFC3" w:sz="1"/>
              <w:left w:val="single" w:color="D6CFC3" w:sz="1"/>
              <w:bottom w:val="single" w:color="D6CFC3" w:sz="1"/>
              <w:right w:val="single" w:color="D6CFC3" w:sz="1"/>
            </w:tcBorders>
            <w:shd w:fill="1B2D45" w:color="auto" w:val="clear"/>
            <w:tcMar>
              <w:top w:type="dxa" w:w="70"/>
              <w:left w:type="dxa" w:w="110"/>
              <w:bottom w:type="dxa" w:w="70"/>
              <w:right w:type="dxa" w:w="110"/>
            </w:tcMar>
            <w:vAlign w:val="center"/>
          </w:tcPr>
          <w:p>
            <w:pPr>
              <w:jc w:val="left"/>
            </w:pPr>
            <w:r>
              <w:rPr>
                <w:b/>
                <w:bCs/>
                <w:color w:val="FFFFFF"/>
                <w:sz w:val="19"/>
                <w:szCs w:val="19"/>
              </w:rPr>
              <w:t xml:space="preserve">Code</w:t>
            </w:r>
          </w:p>
        </w:tc>
        <w:tc>
          <w:tcPr>
            <w:tcW w:type="dxa" w:w="6000"/>
            <w:tcBorders>
              <w:top w:val="single" w:color="D6CFC3" w:sz="1"/>
              <w:left w:val="single" w:color="D6CFC3" w:sz="1"/>
              <w:bottom w:val="single" w:color="D6CFC3" w:sz="1"/>
              <w:right w:val="single" w:color="D6CFC3" w:sz="1"/>
            </w:tcBorders>
            <w:shd w:fill="1B2D45" w:color="auto" w:val="clear"/>
            <w:tcMar>
              <w:top w:type="dxa" w:w="70"/>
              <w:left w:type="dxa" w:w="110"/>
              <w:bottom w:type="dxa" w:w="70"/>
              <w:right w:type="dxa" w:w="110"/>
            </w:tcMar>
            <w:vAlign w:val="center"/>
          </w:tcPr>
          <w:p>
            <w:pPr>
              <w:jc w:val="center"/>
            </w:pPr>
            <w:r>
              <w:rPr>
                <w:b/>
                <w:bCs/>
                <w:color w:val="FFFFFF"/>
                <w:sz w:val="19"/>
                <w:szCs w:val="19"/>
              </w:rPr>
              <w:t xml:space="preserve">Standard component (Grade 8 / U.S.)</w:t>
            </w:r>
          </w:p>
        </w:tc>
        <w:tc>
          <w:tcPr>
            <w:tcW w:type="dxa" w:w="1860"/>
            <w:tcBorders>
              <w:top w:val="single" w:color="D6CFC3" w:sz="1"/>
              <w:left w:val="single" w:color="D6CFC3" w:sz="1"/>
              <w:bottom w:val="single" w:color="D6CFC3" w:sz="1"/>
              <w:right w:val="single" w:color="D6CFC3" w:sz="1"/>
            </w:tcBorders>
            <w:shd w:fill="1B2D45" w:color="auto" w:val="clear"/>
            <w:tcMar>
              <w:top w:type="dxa" w:w="70"/>
              <w:left w:type="dxa" w:w="110"/>
              <w:bottom w:type="dxa" w:w="70"/>
              <w:right w:type="dxa" w:w="110"/>
            </w:tcMar>
            <w:vAlign w:val="center"/>
          </w:tcPr>
          <w:p>
            <w:pPr>
              <w:jc w:val="center"/>
            </w:pPr>
            <w:r>
              <w:rPr>
                <w:b/>
                <w:bCs/>
                <w:color w:val="FFFFFF"/>
                <w:sz w:val="19"/>
                <w:szCs w:val="19"/>
              </w:rPr>
              <w:t xml:space="preserve">Coverage</w:t>
            </w:r>
          </w:p>
        </w:tc>
      </w:tr>
      <w:tr>
        <w:tc>
          <w:tcPr>
            <w:tcW w:type="dxa" w:w="1500"/>
            <w:tcBorders>
              <w:top w:val="single" w:color="D6CFC3" w:sz="1"/>
              <w:left w:val="single" w:color="D6CFC3" w:sz="1"/>
              <w:bottom w:val="single" w:color="D6CFC3" w:sz="1"/>
              <w:right w:val="single" w:color="D6CFC3" w:sz="1"/>
            </w:tcBorders>
            <w:shd w:fill="F5F0E8" w:color="auto" w:val="clear"/>
            <w:tcMar>
              <w:top w:type="dxa" w:w="70"/>
              <w:left w:type="dxa" w:w="110"/>
              <w:bottom w:type="dxa" w:w="70"/>
              <w:right w:type="dxa" w:w="110"/>
            </w:tcMar>
            <w:vAlign w:val="center"/>
          </w:tcPr>
          <w:p>
            <w:r>
              <w:rPr>
                <w:b/>
                <w:bCs/>
                <w:color w:val="1B2D45"/>
                <w:sz w:val="18"/>
                <w:szCs w:val="18"/>
              </w:rPr>
              <w:t xml:space="preserve">C1.6-8.3</w:t>
            </w:r>
          </w:p>
        </w:tc>
        <w:tc>
          <w:tcPr>
            <w:tcW w:type="dxa" w:w="6000"/>
            <w:tcBorders>
              <w:top w:val="single" w:color="D6CFC3" w:sz="1"/>
              <w:left w:val="single" w:color="D6CFC3" w:sz="1"/>
              <w:bottom w:val="single" w:color="D6CFC3" w:sz="1"/>
              <w:right w:val="single" w:color="D6CFC3" w:sz="1"/>
            </w:tcBorders>
            <w:shd w:fill="F5F0E8" w:color="auto" w:val="clear"/>
            <w:tcMar>
              <w:top w:type="dxa" w:w="70"/>
              <w:left w:type="dxa" w:w="110"/>
              <w:bottom w:type="dxa" w:w="70"/>
              <w:right w:type="dxa" w:w="110"/>
            </w:tcMar>
            <w:vAlign w:val="center"/>
          </w:tcPr>
          <w:p>
            <w:r>
              <w:rPr>
                <w:sz w:val="18"/>
                <w:szCs w:val="18"/>
              </w:rPr>
              <w:t xml:space="preserve">Explain key ideals in the DOI, Constitution, and Bill of Rights.</w:t>
            </w:r>
          </w:p>
        </w:tc>
        <w:tc>
          <w:tcPr>
            <w:tcW w:type="dxa" w:w="1860"/>
            <w:tcBorders>
              <w:top w:val="single" w:color="D6CFC3" w:sz="1"/>
              <w:left w:val="single" w:color="D6CFC3" w:sz="1"/>
              <w:bottom w:val="single" w:color="D6CFC3" w:sz="1"/>
              <w:right w:val="single" w:color="D6CFC3" w:sz="1"/>
            </w:tcBorders>
            <w:shd w:fill="E3ECDF" w:color="auto" w:val="clear"/>
            <w:tcMar>
              <w:top w:type="dxa" w:w="70"/>
              <w:left w:type="dxa" w:w="110"/>
              <w:bottom w:type="dxa" w:w="70"/>
              <w:right w:type="dxa" w:w="110"/>
            </w:tcMar>
            <w:vAlign w:val="center"/>
          </w:tcPr>
          <w:p>
            <w:pPr>
              <w:jc w:val="center"/>
            </w:pPr>
            <w:r>
              <w:rPr>
                <w:b/>
                <w:bCs/>
                <w:color w:val="4A6741"/>
                <w:sz w:val="22"/>
                <w:szCs w:val="22"/>
              </w:rPr>
              <w:t xml:space="preserve">●</w:t>
            </w:r>
          </w:p>
        </w:tc>
      </w:tr>
      <w:tr>
        <w:tc>
          <w:tcPr>
            <w:tcW w:type="dxa" w:w="1500"/>
            <w:tcBorders>
              <w:top w:val="single" w:color="D6CFC3" w:sz="1"/>
              <w:left w:val="single" w:color="D6CFC3" w:sz="1"/>
              <w:bottom w:val="single" w:color="D6CFC3" w:sz="1"/>
              <w:right w:val="single" w:color="D6CFC3" w:sz="1"/>
            </w:tcBorders>
            <w:shd w:fill="FFFFFF" w:color="auto" w:val="clear"/>
            <w:tcMar>
              <w:top w:type="dxa" w:w="70"/>
              <w:left w:type="dxa" w:w="110"/>
              <w:bottom w:type="dxa" w:w="70"/>
              <w:right w:type="dxa" w:w="110"/>
            </w:tcMar>
            <w:vAlign w:val="center"/>
          </w:tcPr>
          <w:p>
            <w:r>
              <w:rPr>
                <w:b/>
                <w:bCs/>
                <w:color w:val="1B2D45"/>
                <w:sz w:val="18"/>
                <w:szCs w:val="18"/>
              </w:rPr>
              <w:t xml:space="preserve">C1.6-8.4</w:t>
            </w:r>
          </w:p>
        </w:tc>
        <w:tc>
          <w:tcPr>
            <w:tcW w:type="dxa" w:w="6000"/>
            <w:tcBorders>
              <w:top w:val="single" w:color="D6CFC3" w:sz="1"/>
              <w:left w:val="single" w:color="D6CFC3" w:sz="1"/>
              <w:bottom w:val="single" w:color="D6CFC3" w:sz="1"/>
              <w:right w:val="single" w:color="D6CFC3" w:sz="1"/>
            </w:tcBorders>
            <w:shd w:fill="FFFFFF" w:color="auto" w:val="clear"/>
            <w:tcMar>
              <w:top w:type="dxa" w:w="70"/>
              <w:left w:type="dxa" w:w="110"/>
              <w:bottom w:type="dxa" w:w="70"/>
              <w:right w:type="dxa" w:w="110"/>
            </w:tcMar>
            <w:vAlign w:val="center"/>
          </w:tcPr>
          <w:p>
            <w:r>
              <w:rPr>
                <w:sz w:val="18"/>
                <w:szCs w:val="18"/>
              </w:rPr>
              <w:t xml:space="preserve">Evaluate efforts to reduce gaps between U.S. ideals and reality.</w:t>
            </w:r>
          </w:p>
        </w:tc>
        <w:tc>
          <w:tcPr>
            <w:tcW w:type="dxa" w:w="1860"/>
            <w:tcBorders>
              <w:top w:val="single" w:color="D6CFC3" w:sz="1"/>
              <w:left w:val="single" w:color="D6CFC3" w:sz="1"/>
              <w:bottom w:val="single" w:color="D6CFC3" w:sz="1"/>
              <w:right w:val="single" w:color="D6CFC3" w:sz="1"/>
            </w:tcBorders>
            <w:shd w:fill="E3ECDF" w:color="auto" w:val="clear"/>
            <w:tcMar>
              <w:top w:type="dxa" w:w="70"/>
              <w:left w:type="dxa" w:w="110"/>
              <w:bottom w:type="dxa" w:w="70"/>
              <w:right w:type="dxa" w:w="110"/>
            </w:tcMar>
            <w:vAlign w:val="center"/>
          </w:tcPr>
          <w:p>
            <w:pPr>
              <w:jc w:val="center"/>
            </w:pPr>
            <w:r>
              <w:rPr>
                <w:b/>
                <w:bCs/>
                <w:color w:val="4A6741"/>
                <w:sz w:val="22"/>
                <w:szCs w:val="22"/>
              </w:rPr>
              <w:t xml:space="preserve">●</w:t>
            </w:r>
          </w:p>
        </w:tc>
      </w:tr>
      <w:tr>
        <w:tc>
          <w:tcPr>
            <w:tcW w:type="dxa" w:w="1500"/>
            <w:tcBorders>
              <w:top w:val="single" w:color="D6CFC3" w:sz="1"/>
              <w:left w:val="single" w:color="D6CFC3" w:sz="1"/>
              <w:bottom w:val="single" w:color="D6CFC3" w:sz="1"/>
              <w:right w:val="single" w:color="D6CFC3" w:sz="1"/>
            </w:tcBorders>
            <w:shd w:fill="F5F0E8" w:color="auto" w:val="clear"/>
            <w:tcMar>
              <w:top w:type="dxa" w:w="70"/>
              <w:left w:type="dxa" w:w="110"/>
              <w:bottom w:type="dxa" w:w="70"/>
              <w:right w:type="dxa" w:w="110"/>
            </w:tcMar>
            <w:vAlign w:val="center"/>
          </w:tcPr>
          <w:p>
            <w:r>
              <w:rPr>
                <w:b/>
                <w:bCs/>
                <w:color w:val="1B2D45"/>
                <w:sz w:val="18"/>
                <w:szCs w:val="18"/>
              </w:rPr>
              <w:t xml:space="preserve">C2.6-8.3</w:t>
            </w:r>
          </w:p>
        </w:tc>
        <w:tc>
          <w:tcPr>
            <w:tcW w:type="dxa" w:w="6000"/>
            <w:tcBorders>
              <w:top w:val="single" w:color="D6CFC3" w:sz="1"/>
              <w:left w:val="single" w:color="D6CFC3" w:sz="1"/>
              <w:bottom w:val="single" w:color="D6CFC3" w:sz="1"/>
              <w:right w:val="single" w:color="D6CFC3" w:sz="1"/>
            </w:tcBorders>
            <w:shd w:fill="F5F0E8" w:color="auto" w:val="clear"/>
            <w:tcMar>
              <w:top w:type="dxa" w:w="70"/>
              <w:left w:type="dxa" w:w="110"/>
              <w:bottom w:type="dxa" w:w="70"/>
              <w:right w:type="dxa" w:w="110"/>
            </w:tcMar>
            <w:vAlign w:val="center"/>
          </w:tcPr>
          <w:p>
            <w:r>
              <w:rPr>
                <w:sz w:val="18"/>
                <w:szCs w:val="18"/>
              </w:rPr>
              <w:t xml:space="preserve">Analyze the structure and powers of national government.</w:t>
            </w:r>
          </w:p>
        </w:tc>
        <w:tc>
          <w:tcPr>
            <w:tcW w:type="dxa" w:w="1860"/>
            <w:tcBorders>
              <w:top w:val="single" w:color="D6CFC3" w:sz="1"/>
              <w:left w:val="single" w:color="D6CFC3" w:sz="1"/>
              <w:bottom w:val="single" w:color="D6CFC3" w:sz="1"/>
              <w:right w:val="single" w:color="D6CFC3" w:sz="1"/>
            </w:tcBorders>
            <w:shd w:fill="E3ECDF" w:color="auto" w:val="clear"/>
            <w:tcMar>
              <w:top w:type="dxa" w:w="70"/>
              <w:left w:type="dxa" w:w="110"/>
              <w:bottom w:type="dxa" w:w="70"/>
              <w:right w:type="dxa" w:w="110"/>
            </w:tcMar>
            <w:vAlign w:val="center"/>
          </w:tcPr>
          <w:p>
            <w:pPr>
              <w:jc w:val="center"/>
            </w:pPr>
            <w:r>
              <w:rPr>
                <w:b/>
                <w:bCs/>
                <w:color w:val="4A6741"/>
                <w:sz w:val="22"/>
                <w:szCs w:val="22"/>
              </w:rPr>
              <w:t xml:space="preserve">●</w:t>
            </w:r>
          </w:p>
        </w:tc>
      </w:tr>
      <w:tr>
        <w:tc>
          <w:tcPr>
            <w:tcW w:type="dxa" w:w="1500"/>
            <w:tcBorders>
              <w:top w:val="single" w:color="D6CFC3" w:sz="1"/>
              <w:left w:val="single" w:color="D6CFC3" w:sz="1"/>
              <w:bottom w:val="single" w:color="D6CFC3" w:sz="1"/>
              <w:right w:val="single" w:color="D6CFC3" w:sz="1"/>
            </w:tcBorders>
            <w:shd w:fill="FFFFFF" w:color="auto" w:val="clear"/>
            <w:tcMar>
              <w:top w:type="dxa" w:w="70"/>
              <w:left w:type="dxa" w:w="110"/>
              <w:bottom w:type="dxa" w:w="70"/>
              <w:right w:type="dxa" w:w="110"/>
            </w:tcMar>
            <w:vAlign w:val="center"/>
          </w:tcPr>
          <w:p>
            <w:r>
              <w:rPr>
                <w:b/>
                <w:bCs/>
                <w:color w:val="1B2D45"/>
                <w:sz w:val="18"/>
                <w:szCs w:val="18"/>
              </w:rPr>
              <w:t xml:space="preserve">C2.6-8.4</w:t>
            </w:r>
          </w:p>
        </w:tc>
        <w:tc>
          <w:tcPr>
            <w:tcW w:type="dxa" w:w="6000"/>
            <w:tcBorders>
              <w:top w:val="single" w:color="D6CFC3" w:sz="1"/>
              <w:left w:val="single" w:color="D6CFC3" w:sz="1"/>
              <w:bottom w:val="single" w:color="D6CFC3" w:sz="1"/>
              <w:right w:val="single" w:color="D6CFC3" w:sz="1"/>
            </w:tcBorders>
            <w:shd w:fill="FFFFFF" w:color="auto" w:val="clear"/>
            <w:tcMar>
              <w:top w:type="dxa" w:w="70"/>
              <w:left w:type="dxa" w:w="110"/>
              <w:bottom w:type="dxa" w:w="70"/>
              <w:right w:type="dxa" w:w="110"/>
            </w:tcMar>
            <w:vAlign w:val="center"/>
          </w:tcPr>
          <w:p>
            <w:r>
              <w:rPr>
                <w:sz w:val="18"/>
                <w:szCs w:val="18"/>
              </w:rPr>
              <w:t xml:space="preserve">Use knowledge of government to analyze a political issue.</w:t>
            </w:r>
          </w:p>
        </w:tc>
        <w:tc>
          <w:tcPr>
            <w:tcW w:type="dxa" w:w="1860"/>
            <w:tcBorders>
              <w:top w:val="single" w:color="D6CFC3" w:sz="1"/>
              <w:left w:val="single" w:color="D6CFC3" w:sz="1"/>
              <w:bottom w:val="single" w:color="D6CFC3" w:sz="1"/>
              <w:right w:val="single" w:color="D6CFC3" w:sz="1"/>
            </w:tcBorders>
            <w:shd w:fill="E3ECDF" w:color="auto" w:val="clear"/>
            <w:tcMar>
              <w:top w:type="dxa" w:w="70"/>
              <w:left w:type="dxa" w:w="110"/>
              <w:bottom w:type="dxa" w:w="70"/>
              <w:right w:type="dxa" w:w="110"/>
            </w:tcMar>
            <w:vAlign w:val="center"/>
          </w:tcPr>
          <w:p>
            <w:pPr>
              <w:jc w:val="center"/>
            </w:pPr>
            <w:r>
              <w:rPr>
                <w:b/>
                <w:bCs/>
                <w:color w:val="4A6741"/>
                <w:sz w:val="22"/>
                <w:szCs w:val="22"/>
              </w:rPr>
              <w:t xml:space="preserve">●</w:t>
            </w:r>
          </w:p>
        </w:tc>
      </w:tr>
      <w:tr>
        <w:tc>
          <w:tcPr>
            <w:tcW w:type="dxa" w:w="1500"/>
            <w:tcBorders>
              <w:top w:val="single" w:color="D6CFC3" w:sz="1"/>
              <w:left w:val="single" w:color="D6CFC3" w:sz="1"/>
              <w:bottom w:val="single" w:color="D6CFC3" w:sz="1"/>
              <w:right w:val="single" w:color="D6CFC3" w:sz="1"/>
            </w:tcBorders>
            <w:shd w:fill="F5F0E8" w:color="auto" w:val="clear"/>
            <w:tcMar>
              <w:top w:type="dxa" w:w="70"/>
              <w:left w:type="dxa" w:w="110"/>
              <w:bottom w:type="dxa" w:w="70"/>
              <w:right w:type="dxa" w:w="110"/>
            </w:tcMar>
            <w:vAlign w:val="center"/>
          </w:tcPr>
          <w:p>
            <w:r>
              <w:rPr>
                <w:b/>
                <w:bCs/>
                <w:color w:val="1B2D45"/>
                <w:sz w:val="18"/>
                <w:szCs w:val="18"/>
              </w:rPr>
              <w:t xml:space="preserve">C2.6-8.5</w:t>
            </w:r>
          </w:p>
        </w:tc>
        <w:tc>
          <w:tcPr>
            <w:tcW w:type="dxa" w:w="6000"/>
            <w:tcBorders>
              <w:top w:val="single" w:color="D6CFC3" w:sz="1"/>
              <w:left w:val="single" w:color="D6CFC3" w:sz="1"/>
              <w:bottom w:val="single" w:color="D6CFC3" w:sz="1"/>
              <w:right w:val="single" w:color="D6CFC3" w:sz="1"/>
            </w:tcBorders>
            <w:shd w:fill="F5F0E8" w:color="auto" w:val="clear"/>
            <w:tcMar>
              <w:top w:type="dxa" w:w="70"/>
              <w:left w:type="dxa" w:w="110"/>
              <w:bottom w:type="dxa" w:w="70"/>
              <w:right w:type="dxa" w:w="110"/>
            </w:tcMar>
            <w:vAlign w:val="center"/>
          </w:tcPr>
          <w:p>
            <w:r>
              <w:rPr>
                <w:sz w:val="18"/>
                <w:szCs w:val="18"/>
              </w:rPr>
              <w:t xml:space="preserve">Evaluate the system of checks and balances based on an event.</w:t>
            </w:r>
          </w:p>
        </w:tc>
        <w:tc>
          <w:tcPr>
            <w:tcW w:type="dxa" w:w="1860"/>
            <w:tcBorders>
              <w:top w:val="single" w:color="D6CFC3" w:sz="1"/>
              <w:left w:val="single" w:color="D6CFC3" w:sz="1"/>
              <w:bottom w:val="single" w:color="D6CFC3" w:sz="1"/>
              <w:right w:val="single" w:color="D6CFC3" w:sz="1"/>
            </w:tcBorders>
            <w:shd w:fill="E3ECDF" w:color="auto" w:val="clear"/>
            <w:tcMar>
              <w:top w:type="dxa" w:w="70"/>
              <w:left w:type="dxa" w:w="110"/>
              <w:bottom w:type="dxa" w:w="70"/>
              <w:right w:type="dxa" w:w="110"/>
            </w:tcMar>
            <w:vAlign w:val="center"/>
          </w:tcPr>
          <w:p>
            <w:pPr>
              <w:jc w:val="center"/>
            </w:pPr>
            <w:r>
              <w:rPr>
                <w:b/>
                <w:bCs/>
                <w:color w:val="4A6741"/>
                <w:sz w:val="22"/>
                <w:szCs w:val="22"/>
              </w:rPr>
              <w:t xml:space="preserve">●</w:t>
            </w:r>
          </w:p>
        </w:tc>
      </w:tr>
      <w:tr>
        <w:tc>
          <w:tcPr>
            <w:tcW w:type="dxa" w:w="1500"/>
            <w:tcBorders>
              <w:top w:val="single" w:color="D6CFC3" w:sz="1"/>
              <w:left w:val="single" w:color="D6CFC3" w:sz="1"/>
              <w:bottom w:val="single" w:color="D6CFC3" w:sz="1"/>
              <w:right w:val="single" w:color="D6CFC3" w:sz="1"/>
            </w:tcBorders>
            <w:shd w:fill="FFFFFF" w:color="auto" w:val="clear"/>
            <w:tcMar>
              <w:top w:type="dxa" w:w="70"/>
              <w:left w:type="dxa" w:w="110"/>
              <w:bottom w:type="dxa" w:w="70"/>
              <w:right w:type="dxa" w:w="110"/>
            </w:tcMar>
            <w:vAlign w:val="center"/>
          </w:tcPr>
          <w:p>
            <w:r>
              <w:rPr>
                <w:b/>
                <w:bCs/>
                <w:color w:val="1B2D45"/>
                <w:sz w:val="18"/>
                <w:szCs w:val="18"/>
              </w:rPr>
              <w:t xml:space="preserve">C2.6-8.6</w:t>
            </w:r>
          </w:p>
        </w:tc>
        <w:tc>
          <w:tcPr>
            <w:tcW w:type="dxa" w:w="6000"/>
            <w:tcBorders>
              <w:top w:val="single" w:color="D6CFC3" w:sz="1"/>
              <w:left w:val="single" w:color="D6CFC3" w:sz="1"/>
              <w:bottom w:val="single" w:color="D6CFC3" w:sz="1"/>
              <w:right w:val="single" w:color="D6CFC3" w:sz="1"/>
            </w:tcBorders>
            <w:shd w:fill="FFFFFF" w:color="auto" w:val="clear"/>
            <w:tcMar>
              <w:top w:type="dxa" w:w="70"/>
              <w:left w:type="dxa" w:w="110"/>
              <w:bottom w:type="dxa" w:w="70"/>
              <w:right w:type="dxa" w:w="110"/>
            </w:tcMar>
            <w:vAlign w:val="center"/>
          </w:tcPr>
          <w:p>
            <w:r>
              <w:rPr>
                <w:sz w:val="18"/>
                <w:szCs w:val="18"/>
              </w:rPr>
              <w:t xml:space="preserve">Show the U.S. government includes democracy and republic.</w:t>
            </w:r>
          </w:p>
        </w:tc>
        <w:tc>
          <w:tcPr>
            <w:tcW w:type="dxa" w:w="1860"/>
            <w:tcBorders>
              <w:top w:val="single" w:color="D6CFC3" w:sz="1"/>
              <w:left w:val="single" w:color="D6CFC3" w:sz="1"/>
              <w:bottom w:val="single" w:color="D6CFC3" w:sz="1"/>
              <w:right w:val="single" w:color="D6CFC3" w:sz="1"/>
            </w:tcBorders>
            <w:shd w:fill="E3ECDF" w:color="auto" w:val="clear"/>
            <w:tcMar>
              <w:top w:type="dxa" w:w="70"/>
              <w:left w:type="dxa" w:w="110"/>
              <w:bottom w:type="dxa" w:w="70"/>
              <w:right w:type="dxa" w:w="110"/>
            </w:tcMar>
            <w:vAlign w:val="center"/>
          </w:tcPr>
          <w:p>
            <w:pPr>
              <w:jc w:val="center"/>
            </w:pPr>
            <w:r>
              <w:rPr>
                <w:b/>
                <w:bCs/>
                <w:color w:val="4A6741"/>
                <w:sz w:val="22"/>
                <w:szCs w:val="22"/>
              </w:rPr>
              <w:t xml:space="preserve">●</w:t>
            </w:r>
          </w:p>
        </w:tc>
      </w:tr>
      <w:tr>
        <w:tc>
          <w:tcPr>
            <w:tcW w:type="dxa" w:w="1500"/>
            <w:tcBorders>
              <w:top w:val="single" w:color="D6CFC3" w:sz="1"/>
              <w:left w:val="single" w:color="D6CFC3" w:sz="1"/>
              <w:bottom w:val="single" w:color="D6CFC3" w:sz="1"/>
              <w:right w:val="single" w:color="D6CFC3" w:sz="1"/>
            </w:tcBorders>
            <w:shd w:fill="F5F0E8" w:color="auto" w:val="clear"/>
            <w:tcMar>
              <w:top w:type="dxa" w:w="70"/>
              <w:left w:type="dxa" w:w="110"/>
              <w:bottom w:type="dxa" w:w="70"/>
              <w:right w:type="dxa" w:w="110"/>
            </w:tcMar>
            <w:vAlign w:val="center"/>
          </w:tcPr>
          <w:p>
            <w:r>
              <w:rPr>
                <w:b/>
                <w:bCs/>
                <w:color w:val="1B2D45"/>
                <w:sz w:val="18"/>
                <w:szCs w:val="18"/>
              </w:rPr>
              <w:t xml:space="preserve">C3.6-8.5</w:t>
            </w:r>
          </w:p>
        </w:tc>
        <w:tc>
          <w:tcPr>
            <w:tcW w:type="dxa" w:w="6000"/>
            <w:tcBorders>
              <w:top w:val="single" w:color="D6CFC3" w:sz="1"/>
              <w:left w:val="single" w:color="D6CFC3" w:sz="1"/>
              <w:bottom w:val="single" w:color="D6CFC3" w:sz="1"/>
              <w:right w:val="single" w:color="D6CFC3" w:sz="1"/>
            </w:tcBorders>
            <w:shd w:fill="F5F0E8" w:color="auto" w:val="clear"/>
            <w:tcMar>
              <w:top w:type="dxa" w:w="70"/>
              <w:left w:type="dxa" w:w="110"/>
              <w:bottom w:type="dxa" w:w="70"/>
              <w:right w:type="dxa" w:w="110"/>
            </w:tcMar>
            <w:vAlign w:val="center"/>
          </w:tcPr>
          <w:p>
            <w:r>
              <w:rPr>
                <w:sz w:val="18"/>
                <w:szCs w:val="18"/>
              </w:rPr>
              <w:t xml:space="preserve">Identify early examples of U.S. foreign policy.</w:t>
            </w:r>
          </w:p>
        </w:tc>
        <w:tc>
          <w:tcPr>
            <w:tcW w:type="dxa" w:w="1860"/>
            <w:tcBorders>
              <w:top w:val="single" w:color="D6CFC3" w:sz="1"/>
              <w:left w:val="single" w:color="D6CFC3" w:sz="1"/>
              <w:bottom w:val="single" w:color="D6CFC3" w:sz="1"/>
              <w:right w:val="single" w:color="D6CFC3" w:sz="1"/>
            </w:tcBorders>
            <w:shd w:fill="E3ECDF" w:color="auto" w:val="clear"/>
            <w:tcMar>
              <w:top w:type="dxa" w:w="70"/>
              <w:left w:type="dxa" w:w="110"/>
              <w:bottom w:type="dxa" w:w="70"/>
              <w:right w:type="dxa" w:w="110"/>
            </w:tcMar>
            <w:vAlign w:val="center"/>
          </w:tcPr>
          <w:p>
            <w:pPr>
              <w:jc w:val="center"/>
            </w:pPr>
            <w:r>
              <w:rPr>
                <w:b/>
                <w:bCs/>
                <w:color w:val="4A6741"/>
                <w:sz w:val="22"/>
                <w:szCs w:val="22"/>
              </w:rPr>
              <w:t xml:space="preserve">●</w:t>
            </w:r>
          </w:p>
        </w:tc>
      </w:tr>
      <w:tr>
        <w:tc>
          <w:tcPr>
            <w:tcW w:type="dxa" w:w="1500"/>
            <w:tcBorders>
              <w:top w:val="single" w:color="D6CFC3" w:sz="1"/>
              <w:left w:val="single" w:color="D6CFC3" w:sz="1"/>
              <w:bottom w:val="single" w:color="D6CFC3" w:sz="1"/>
              <w:right w:val="single" w:color="D6CFC3" w:sz="1"/>
            </w:tcBorders>
            <w:shd w:fill="FFFFFF" w:color="auto" w:val="clear"/>
            <w:tcMar>
              <w:top w:type="dxa" w:w="70"/>
              <w:left w:type="dxa" w:w="110"/>
              <w:bottom w:type="dxa" w:w="70"/>
              <w:right w:type="dxa" w:w="110"/>
            </w:tcMar>
            <w:vAlign w:val="center"/>
          </w:tcPr>
          <w:p>
            <w:r>
              <w:rPr>
                <w:b/>
                <w:bCs/>
                <w:color w:val="1B2D45"/>
                <w:sz w:val="18"/>
                <w:szCs w:val="18"/>
              </w:rPr>
              <w:t xml:space="preserve">C3.6-8.6</w:t>
            </w:r>
          </w:p>
        </w:tc>
        <w:tc>
          <w:tcPr>
            <w:tcW w:type="dxa" w:w="6000"/>
            <w:tcBorders>
              <w:top w:val="single" w:color="D6CFC3" w:sz="1"/>
              <w:left w:val="single" w:color="D6CFC3" w:sz="1"/>
              <w:bottom w:val="single" w:color="D6CFC3" w:sz="1"/>
              <w:right w:val="single" w:color="D6CFC3" w:sz="1"/>
            </w:tcBorders>
            <w:shd w:fill="FFFFFF" w:color="auto" w:val="clear"/>
            <w:tcMar>
              <w:top w:type="dxa" w:w="70"/>
              <w:left w:type="dxa" w:w="110"/>
              <w:bottom w:type="dxa" w:w="70"/>
              <w:right w:type="dxa" w:w="110"/>
            </w:tcMar>
            <w:vAlign w:val="center"/>
          </w:tcPr>
          <w:p>
            <w:r>
              <w:rPr>
                <w:sz w:val="18"/>
                <w:szCs w:val="18"/>
              </w:rPr>
              <w:t xml:space="preserve">Analyze how the U.S. has interacted with other countries.</w:t>
            </w:r>
          </w:p>
        </w:tc>
        <w:tc>
          <w:tcPr>
            <w:tcW w:type="dxa" w:w="1860"/>
            <w:tcBorders>
              <w:top w:val="single" w:color="D6CFC3" w:sz="1"/>
              <w:left w:val="single" w:color="D6CFC3" w:sz="1"/>
              <w:bottom w:val="single" w:color="D6CFC3" w:sz="1"/>
              <w:right w:val="single" w:color="D6CFC3" w:sz="1"/>
            </w:tcBorders>
            <w:shd w:fill="E3ECDF" w:color="auto" w:val="clear"/>
            <w:tcMar>
              <w:top w:type="dxa" w:w="70"/>
              <w:left w:type="dxa" w:w="110"/>
              <w:bottom w:type="dxa" w:w="70"/>
              <w:right w:type="dxa" w:w="110"/>
            </w:tcMar>
            <w:vAlign w:val="center"/>
          </w:tcPr>
          <w:p>
            <w:pPr>
              <w:jc w:val="center"/>
            </w:pPr>
            <w:r>
              <w:rPr>
                <w:b/>
                <w:bCs/>
                <w:color w:val="4A6741"/>
                <w:sz w:val="22"/>
                <w:szCs w:val="22"/>
              </w:rPr>
              <w:t xml:space="preserve">●</w:t>
            </w:r>
          </w:p>
        </w:tc>
      </w:tr>
      <w:tr>
        <w:tc>
          <w:tcPr>
            <w:tcW w:type="dxa" w:w="1500"/>
            <w:tcBorders>
              <w:top w:val="single" w:color="D6CFC3" w:sz="1"/>
              <w:left w:val="single" w:color="D6CFC3" w:sz="1"/>
              <w:bottom w:val="single" w:color="D6CFC3" w:sz="1"/>
              <w:right w:val="single" w:color="D6CFC3" w:sz="1"/>
            </w:tcBorders>
            <w:shd w:fill="F5F0E8" w:color="auto" w:val="clear"/>
            <w:tcMar>
              <w:top w:type="dxa" w:w="70"/>
              <w:left w:type="dxa" w:w="110"/>
              <w:bottom w:type="dxa" w:w="70"/>
              <w:right w:type="dxa" w:w="110"/>
            </w:tcMar>
            <w:vAlign w:val="center"/>
          </w:tcPr>
          <w:p>
            <w:r>
              <w:rPr>
                <w:b/>
                <w:bCs/>
                <w:color w:val="1B2D45"/>
                <w:sz w:val="18"/>
                <w:szCs w:val="18"/>
              </w:rPr>
              <w:t xml:space="preserve">C4.6-8.4</w:t>
            </w:r>
          </w:p>
        </w:tc>
        <w:tc>
          <w:tcPr>
            <w:tcW w:type="dxa" w:w="6000"/>
            <w:tcBorders>
              <w:top w:val="single" w:color="D6CFC3" w:sz="1"/>
              <w:left w:val="single" w:color="D6CFC3" w:sz="1"/>
              <w:bottom w:val="single" w:color="D6CFC3" w:sz="1"/>
              <w:right w:val="single" w:color="D6CFC3" w:sz="1"/>
            </w:tcBorders>
            <w:shd w:fill="F5F0E8" w:color="auto" w:val="clear"/>
            <w:tcMar>
              <w:top w:type="dxa" w:w="70"/>
              <w:left w:type="dxa" w:w="110"/>
              <w:bottom w:type="dxa" w:w="70"/>
              <w:right w:type="dxa" w:w="110"/>
            </w:tcMar>
            <w:vAlign w:val="center"/>
          </w:tcPr>
          <w:p>
            <w:r>
              <w:rPr>
                <w:sz w:val="18"/>
                <w:szCs w:val="18"/>
              </w:rPr>
              <w:t xml:space="preserve">Analyze how a claim balances individual rights and common good.</w:t>
            </w:r>
          </w:p>
        </w:tc>
        <w:tc>
          <w:tcPr>
            <w:tcW w:type="dxa" w:w="1860"/>
            <w:tcBorders>
              <w:top w:val="single" w:color="D6CFC3" w:sz="1"/>
              <w:left w:val="single" w:color="D6CFC3" w:sz="1"/>
              <w:bottom w:val="single" w:color="D6CFC3" w:sz="1"/>
              <w:right w:val="single" w:color="D6CFC3" w:sz="1"/>
            </w:tcBorders>
            <w:shd w:fill="E3ECDF" w:color="auto" w:val="clear"/>
            <w:tcMar>
              <w:top w:type="dxa" w:w="70"/>
              <w:left w:type="dxa" w:w="110"/>
              <w:bottom w:type="dxa" w:w="70"/>
              <w:right w:type="dxa" w:w="110"/>
            </w:tcMar>
            <w:vAlign w:val="center"/>
          </w:tcPr>
          <w:p>
            <w:pPr>
              <w:jc w:val="center"/>
            </w:pPr>
            <w:r>
              <w:rPr>
                <w:b/>
                <w:bCs/>
                <w:color w:val="4A6741"/>
                <w:sz w:val="22"/>
                <w:szCs w:val="22"/>
              </w:rPr>
              <w:t xml:space="preserve">●</w:t>
            </w:r>
          </w:p>
        </w:tc>
      </w:tr>
      <w:tr>
        <w:tc>
          <w:tcPr>
            <w:tcW w:type="dxa" w:w="1500"/>
            <w:tcBorders>
              <w:top w:val="single" w:color="D6CFC3" w:sz="1"/>
              <w:left w:val="single" w:color="D6CFC3" w:sz="1"/>
              <w:bottom w:val="single" w:color="D6CFC3" w:sz="1"/>
              <w:right w:val="single" w:color="D6CFC3" w:sz="1"/>
            </w:tcBorders>
            <w:shd w:fill="FFFFFF" w:color="auto" w:val="clear"/>
            <w:tcMar>
              <w:top w:type="dxa" w:w="70"/>
              <w:left w:type="dxa" w:w="110"/>
              <w:bottom w:type="dxa" w:w="70"/>
              <w:right w:type="dxa" w:w="110"/>
            </w:tcMar>
            <w:vAlign w:val="center"/>
          </w:tcPr>
          <w:p>
            <w:r>
              <w:rPr>
                <w:b/>
                <w:bCs/>
                <w:color w:val="1B2D45"/>
                <w:sz w:val="18"/>
                <w:szCs w:val="18"/>
              </w:rPr>
              <w:t xml:space="preserve">C4.6-8.5</w:t>
            </w:r>
          </w:p>
        </w:tc>
        <w:tc>
          <w:tcPr>
            <w:tcW w:type="dxa" w:w="6000"/>
            <w:tcBorders>
              <w:top w:val="single" w:color="D6CFC3" w:sz="1"/>
              <w:left w:val="single" w:color="D6CFC3" w:sz="1"/>
              <w:bottom w:val="single" w:color="D6CFC3" w:sz="1"/>
              <w:right w:val="single" w:color="D6CFC3" w:sz="1"/>
            </w:tcBorders>
            <w:shd w:fill="FFFFFF" w:color="auto" w:val="clear"/>
            <w:tcMar>
              <w:top w:type="dxa" w:w="70"/>
              <w:left w:type="dxa" w:w="110"/>
              <w:bottom w:type="dxa" w:w="70"/>
              <w:right w:type="dxa" w:w="110"/>
            </w:tcMar>
            <w:vAlign w:val="center"/>
          </w:tcPr>
          <w:p>
            <w:r>
              <w:rPr>
                <w:sz w:val="18"/>
                <w:szCs w:val="18"/>
              </w:rPr>
              <w:t xml:space="preserve">Employ civic-involvement strategies on a national issue.</w:t>
            </w:r>
          </w:p>
        </w:tc>
        <w:tc>
          <w:tcPr>
            <w:tcW w:type="dxa" w:w="1860"/>
            <w:tcBorders>
              <w:top w:val="single" w:color="D6CFC3" w:sz="1"/>
              <w:left w:val="single" w:color="D6CFC3" w:sz="1"/>
              <w:bottom w:val="single" w:color="D6CFC3" w:sz="1"/>
              <w:right w:val="single" w:color="D6CFC3" w:sz="1"/>
            </w:tcBorders>
            <w:shd w:fill="F6E2DA" w:color="auto" w:val="clear"/>
            <w:tcMar>
              <w:top w:type="dxa" w:w="70"/>
              <w:left w:type="dxa" w:w="110"/>
              <w:bottom w:type="dxa" w:w="70"/>
              <w:right w:type="dxa" w:w="110"/>
            </w:tcMar>
            <w:vAlign w:val="center"/>
          </w:tcPr>
          <w:p>
            <w:pPr>
              <w:jc w:val="center"/>
            </w:pPr>
            <w:r>
              <w:rPr>
                <w:b/>
                <w:bCs/>
                <w:color w:val="C75B2A"/>
                <w:sz w:val="22"/>
                <w:szCs w:val="22"/>
              </w:rPr>
              <w:t xml:space="preserve">○</w:t>
            </w:r>
          </w:p>
        </w:tc>
      </w:tr>
      <w:tr>
        <w:tc>
          <w:tcPr>
            <w:tcW w:type="dxa" w:w="1500"/>
            <w:tcBorders>
              <w:top w:val="single" w:color="D6CFC3" w:sz="1"/>
              <w:left w:val="single" w:color="D6CFC3" w:sz="1"/>
              <w:bottom w:val="single" w:color="D6CFC3" w:sz="1"/>
              <w:right w:val="single" w:color="D6CFC3" w:sz="1"/>
            </w:tcBorders>
            <w:shd w:fill="F5F0E8" w:color="auto" w:val="clear"/>
            <w:tcMar>
              <w:top w:type="dxa" w:w="70"/>
              <w:left w:type="dxa" w:w="110"/>
              <w:bottom w:type="dxa" w:w="70"/>
              <w:right w:type="dxa" w:w="110"/>
            </w:tcMar>
            <w:vAlign w:val="center"/>
          </w:tcPr>
          <w:p>
            <w:r>
              <w:rPr>
                <w:b/>
                <w:bCs/>
                <w:color w:val="1B2D45"/>
                <w:sz w:val="18"/>
                <w:szCs w:val="18"/>
              </w:rPr>
              <w:t xml:space="preserve">E1.6-8.3</w:t>
            </w:r>
          </w:p>
        </w:tc>
        <w:tc>
          <w:tcPr>
            <w:tcW w:type="dxa" w:w="6000"/>
            <w:tcBorders>
              <w:top w:val="single" w:color="D6CFC3" w:sz="1"/>
              <w:left w:val="single" w:color="D6CFC3" w:sz="1"/>
              <w:bottom w:val="single" w:color="D6CFC3" w:sz="1"/>
              <w:right w:val="single" w:color="D6CFC3" w:sz="1"/>
            </w:tcBorders>
            <w:shd w:fill="F5F0E8" w:color="auto" w:val="clear"/>
            <w:tcMar>
              <w:top w:type="dxa" w:w="70"/>
              <w:left w:type="dxa" w:w="110"/>
              <w:bottom w:type="dxa" w:w="70"/>
              <w:right w:type="dxa" w:w="110"/>
            </w:tcMar>
            <w:vAlign w:val="center"/>
          </w:tcPr>
          <w:p>
            <w:r>
              <w:rPr>
                <w:sz w:val="18"/>
                <w:szCs w:val="18"/>
              </w:rPr>
              <w:t xml:space="preserve">Analyze profit vs. personal values in economic choices.</w:t>
            </w:r>
          </w:p>
        </w:tc>
        <w:tc>
          <w:tcPr>
            <w:tcW w:type="dxa" w:w="1860"/>
            <w:tcBorders>
              <w:top w:val="single" w:color="D6CFC3" w:sz="1"/>
              <w:left w:val="single" w:color="D6CFC3" w:sz="1"/>
              <w:bottom w:val="single" w:color="D6CFC3" w:sz="1"/>
              <w:right w:val="single" w:color="D6CFC3" w:sz="1"/>
            </w:tcBorders>
            <w:shd w:fill="FBF1DD" w:color="auto" w:val="clear"/>
            <w:tcMar>
              <w:top w:type="dxa" w:w="70"/>
              <w:left w:type="dxa" w:w="110"/>
              <w:bottom w:type="dxa" w:w="70"/>
              <w:right w:type="dxa" w:w="110"/>
            </w:tcMar>
            <w:vAlign w:val="center"/>
          </w:tcPr>
          <w:p>
            <w:pPr>
              <w:jc w:val="center"/>
            </w:pPr>
            <w:r>
              <w:rPr>
                <w:b/>
                <w:bCs/>
                <w:color w:val="B8893B"/>
                <w:sz w:val="22"/>
                <w:szCs w:val="22"/>
              </w:rPr>
              <w:t xml:space="preserve">◐</w:t>
            </w:r>
          </w:p>
        </w:tc>
      </w:tr>
      <w:tr>
        <w:tc>
          <w:tcPr>
            <w:tcW w:type="dxa" w:w="1500"/>
            <w:tcBorders>
              <w:top w:val="single" w:color="D6CFC3" w:sz="1"/>
              <w:left w:val="single" w:color="D6CFC3" w:sz="1"/>
              <w:bottom w:val="single" w:color="D6CFC3" w:sz="1"/>
              <w:right w:val="single" w:color="D6CFC3" w:sz="1"/>
            </w:tcBorders>
            <w:shd w:fill="FFFFFF" w:color="auto" w:val="clear"/>
            <w:tcMar>
              <w:top w:type="dxa" w:w="70"/>
              <w:left w:type="dxa" w:w="110"/>
              <w:bottom w:type="dxa" w:w="70"/>
              <w:right w:type="dxa" w:w="110"/>
            </w:tcMar>
            <w:vAlign w:val="center"/>
          </w:tcPr>
          <w:p>
            <w:r>
              <w:rPr>
                <w:b/>
                <w:bCs/>
                <w:color w:val="1B2D45"/>
                <w:sz w:val="18"/>
                <w:szCs w:val="18"/>
              </w:rPr>
              <w:t xml:space="preserve">E2.6-8.5</w:t>
            </w:r>
          </w:p>
        </w:tc>
        <w:tc>
          <w:tcPr>
            <w:tcW w:type="dxa" w:w="6000"/>
            <w:tcBorders>
              <w:top w:val="single" w:color="D6CFC3" w:sz="1"/>
              <w:left w:val="single" w:color="D6CFC3" w:sz="1"/>
              <w:bottom w:val="single" w:color="D6CFC3" w:sz="1"/>
              <w:right w:val="single" w:color="D6CFC3" w:sz="1"/>
            </w:tcBorders>
            <w:shd w:fill="FFFFFF" w:color="auto" w:val="clear"/>
            <w:tcMar>
              <w:top w:type="dxa" w:w="70"/>
              <w:left w:type="dxa" w:w="110"/>
              <w:bottom w:type="dxa" w:w="70"/>
              <w:right w:type="dxa" w:w="110"/>
            </w:tcMar>
            <w:vAlign w:val="center"/>
          </w:tcPr>
          <w:p>
            <w:r>
              <w:rPr>
                <w:sz w:val="18"/>
                <w:szCs w:val="18"/>
              </w:rPr>
              <w:t xml:space="preserve">Analyze supply &amp; demand in U.S. production/consumption.</w:t>
            </w:r>
          </w:p>
        </w:tc>
        <w:tc>
          <w:tcPr>
            <w:tcW w:type="dxa" w:w="1860"/>
            <w:tcBorders>
              <w:top w:val="single" w:color="D6CFC3" w:sz="1"/>
              <w:left w:val="single" w:color="D6CFC3" w:sz="1"/>
              <w:bottom w:val="single" w:color="D6CFC3" w:sz="1"/>
              <w:right w:val="single" w:color="D6CFC3" w:sz="1"/>
            </w:tcBorders>
            <w:shd w:fill="FBF1DD" w:color="auto" w:val="clear"/>
            <w:tcMar>
              <w:top w:type="dxa" w:w="70"/>
              <w:left w:type="dxa" w:w="110"/>
              <w:bottom w:type="dxa" w:w="70"/>
              <w:right w:type="dxa" w:w="110"/>
            </w:tcMar>
            <w:vAlign w:val="center"/>
          </w:tcPr>
          <w:p>
            <w:pPr>
              <w:jc w:val="center"/>
            </w:pPr>
            <w:r>
              <w:rPr>
                <w:b/>
                <w:bCs/>
                <w:color w:val="B8893B"/>
                <w:sz w:val="22"/>
                <w:szCs w:val="22"/>
              </w:rPr>
              <w:t xml:space="preserve">◐</w:t>
            </w:r>
          </w:p>
        </w:tc>
      </w:tr>
      <w:tr>
        <w:tc>
          <w:tcPr>
            <w:tcW w:type="dxa" w:w="1500"/>
            <w:tcBorders>
              <w:top w:val="single" w:color="D6CFC3" w:sz="1"/>
              <w:left w:val="single" w:color="D6CFC3" w:sz="1"/>
              <w:bottom w:val="single" w:color="D6CFC3" w:sz="1"/>
              <w:right w:val="single" w:color="D6CFC3" w:sz="1"/>
            </w:tcBorders>
            <w:shd w:fill="F5F0E8" w:color="auto" w:val="clear"/>
            <w:tcMar>
              <w:top w:type="dxa" w:w="70"/>
              <w:left w:type="dxa" w:w="110"/>
              <w:bottom w:type="dxa" w:w="70"/>
              <w:right w:type="dxa" w:w="110"/>
            </w:tcMar>
            <w:vAlign w:val="center"/>
          </w:tcPr>
          <w:p>
            <w:r>
              <w:rPr>
                <w:b/>
                <w:bCs/>
                <w:color w:val="1B2D45"/>
                <w:sz w:val="18"/>
                <w:szCs w:val="18"/>
              </w:rPr>
              <w:t xml:space="preserve">E2.6-8.6</w:t>
            </w:r>
          </w:p>
        </w:tc>
        <w:tc>
          <w:tcPr>
            <w:tcW w:type="dxa" w:w="6000"/>
            <w:tcBorders>
              <w:top w:val="single" w:color="D6CFC3" w:sz="1"/>
              <w:left w:val="single" w:color="D6CFC3" w:sz="1"/>
              <w:bottom w:val="single" w:color="D6CFC3" w:sz="1"/>
              <w:right w:val="single" w:color="D6CFC3" w:sz="1"/>
            </w:tcBorders>
            <w:shd w:fill="F5F0E8" w:color="auto" w:val="clear"/>
            <w:tcMar>
              <w:top w:type="dxa" w:w="70"/>
              <w:left w:type="dxa" w:w="110"/>
              <w:bottom w:type="dxa" w:w="70"/>
              <w:right w:type="dxa" w:w="110"/>
            </w:tcMar>
            <w:vAlign w:val="center"/>
          </w:tcPr>
          <w:p>
            <w:r>
              <w:rPr>
                <w:sz w:val="18"/>
                <w:szCs w:val="18"/>
              </w:rPr>
              <w:t xml:space="preserve">Analyze supply &amp; demand in U.S. international trade.</w:t>
            </w:r>
          </w:p>
        </w:tc>
        <w:tc>
          <w:tcPr>
            <w:tcW w:type="dxa" w:w="1860"/>
            <w:tcBorders>
              <w:top w:val="single" w:color="D6CFC3" w:sz="1"/>
              <w:left w:val="single" w:color="D6CFC3" w:sz="1"/>
              <w:bottom w:val="single" w:color="D6CFC3" w:sz="1"/>
              <w:right w:val="single" w:color="D6CFC3" w:sz="1"/>
            </w:tcBorders>
            <w:shd w:fill="F6E2DA" w:color="auto" w:val="clear"/>
            <w:tcMar>
              <w:top w:type="dxa" w:w="70"/>
              <w:left w:type="dxa" w:w="110"/>
              <w:bottom w:type="dxa" w:w="70"/>
              <w:right w:type="dxa" w:w="110"/>
            </w:tcMar>
            <w:vAlign w:val="center"/>
          </w:tcPr>
          <w:p>
            <w:pPr>
              <w:jc w:val="center"/>
            </w:pPr>
            <w:r>
              <w:rPr>
                <w:b/>
                <w:bCs/>
                <w:color w:val="C75B2A"/>
                <w:sz w:val="22"/>
                <w:szCs w:val="22"/>
              </w:rPr>
              <w:t xml:space="preserve">○</w:t>
            </w:r>
          </w:p>
        </w:tc>
      </w:tr>
      <w:tr>
        <w:tc>
          <w:tcPr>
            <w:tcW w:type="dxa" w:w="1500"/>
            <w:tcBorders>
              <w:top w:val="single" w:color="D6CFC3" w:sz="1"/>
              <w:left w:val="single" w:color="D6CFC3" w:sz="1"/>
              <w:bottom w:val="single" w:color="D6CFC3" w:sz="1"/>
              <w:right w:val="single" w:color="D6CFC3" w:sz="1"/>
            </w:tcBorders>
            <w:shd w:fill="FFFFFF" w:color="auto" w:val="clear"/>
            <w:tcMar>
              <w:top w:type="dxa" w:w="70"/>
              <w:left w:type="dxa" w:w="110"/>
              <w:bottom w:type="dxa" w:w="70"/>
              <w:right w:type="dxa" w:w="110"/>
            </w:tcMar>
            <w:vAlign w:val="center"/>
          </w:tcPr>
          <w:p>
            <w:r>
              <w:rPr>
                <w:b/>
                <w:bCs/>
                <w:color w:val="1B2D45"/>
                <w:sz w:val="18"/>
                <w:szCs w:val="18"/>
              </w:rPr>
              <w:t xml:space="preserve">E3.6-8.3</w:t>
            </w:r>
          </w:p>
        </w:tc>
        <w:tc>
          <w:tcPr>
            <w:tcW w:type="dxa" w:w="6000"/>
            <w:tcBorders>
              <w:top w:val="single" w:color="D6CFC3" w:sz="1"/>
              <w:left w:val="single" w:color="D6CFC3" w:sz="1"/>
              <w:bottom w:val="single" w:color="D6CFC3" w:sz="1"/>
              <w:right w:val="single" w:color="D6CFC3" w:sz="1"/>
            </w:tcBorders>
            <w:shd w:fill="FFFFFF" w:color="auto" w:val="clear"/>
            <w:tcMar>
              <w:top w:type="dxa" w:w="70"/>
              <w:left w:type="dxa" w:w="110"/>
              <w:bottom w:type="dxa" w:w="70"/>
              <w:right w:type="dxa" w:w="110"/>
            </w:tcMar>
            <w:vAlign w:val="center"/>
          </w:tcPr>
          <w:p>
            <w:r>
              <w:rPr>
                <w:sz w:val="18"/>
                <w:szCs w:val="18"/>
              </w:rPr>
              <w:t xml:space="preserve">Analyze U.S. taxation, currency creation, and tariffs.</w:t>
            </w:r>
          </w:p>
        </w:tc>
        <w:tc>
          <w:tcPr>
            <w:tcW w:type="dxa" w:w="1860"/>
            <w:tcBorders>
              <w:top w:val="single" w:color="D6CFC3" w:sz="1"/>
              <w:left w:val="single" w:color="D6CFC3" w:sz="1"/>
              <w:bottom w:val="single" w:color="D6CFC3" w:sz="1"/>
              <w:right w:val="single" w:color="D6CFC3" w:sz="1"/>
            </w:tcBorders>
            <w:shd w:fill="F6E2DA" w:color="auto" w:val="clear"/>
            <w:tcMar>
              <w:top w:type="dxa" w:w="70"/>
              <w:left w:type="dxa" w:w="110"/>
              <w:bottom w:type="dxa" w:w="70"/>
              <w:right w:type="dxa" w:w="110"/>
            </w:tcMar>
            <w:vAlign w:val="center"/>
          </w:tcPr>
          <w:p>
            <w:pPr>
              <w:jc w:val="center"/>
            </w:pPr>
            <w:r>
              <w:rPr>
                <w:b/>
                <w:bCs/>
                <w:color w:val="C75B2A"/>
                <w:sz w:val="22"/>
                <w:szCs w:val="22"/>
              </w:rPr>
              <w:t xml:space="preserve">○</w:t>
            </w:r>
          </w:p>
        </w:tc>
      </w:tr>
      <w:tr>
        <w:tc>
          <w:tcPr>
            <w:tcW w:type="dxa" w:w="1500"/>
            <w:tcBorders>
              <w:top w:val="single" w:color="D6CFC3" w:sz="1"/>
              <w:left w:val="single" w:color="D6CFC3" w:sz="1"/>
              <w:bottom w:val="single" w:color="D6CFC3" w:sz="1"/>
              <w:right w:val="single" w:color="D6CFC3" w:sz="1"/>
            </w:tcBorders>
            <w:shd w:fill="F5F0E8" w:color="auto" w:val="clear"/>
            <w:tcMar>
              <w:top w:type="dxa" w:w="70"/>
              <w:left w:type="dxa" w:w="110"/>
              <w:bottom w:type="dxa" w:w="70"/>
              <w:right w:type="dxa" w:w="110"/>
            </w:tcMar>
            <w:vAlign w:val="center"/>
          </w:tcPr>
          <w:p>
            <w:r>
              <w:rPr>
                <w:b/>
                <w:bCs/>
                <w:color w:val="1B2D45"/>
                <w:sz w:val="18"/>
                <w:szCs w:val="18"/>
              </w:rPr>
              <w:t xml:space="preserve">E4.6-8.5</w:t>
            </w:r>
          </w:p>
        </w:tc>
        <w:tc>
          <w:tcPr>
            <w:tcW w:type="dxa" w:w="6000"/>
            <w:tcBorders>
              <w:top w:val="single" w:color="D6CFC3" w:sz="1"/>
              <w:left w:val="single" w:color="D6CFC3" w:sz="1"/>
              <w:bottom w:val="single" w:color="D6CFC3" w:sz="1"/>
              <w:right w:val="single" w:color="D6CFC3" w:sz="1"/>
            </w:tcBorders>
            <w:shd w:fill="F5F0E8" w:color="auto" w:val="clear"/>
            <w:tcMar>
              <w:top w:type="dxa" w:w="70"/>
              <w:left w:type="dxa" w:w="110"/>
              <w:bottom w:type="dxa" w:w="70"/>
              <w:right w:type="dxa" w:w="110"/>
            </w:tcMar>
            <w:vAlign w:val="center"/>
          </w:tcPr>
          <w:p>
            <w:r>
              <w:rPr>
                <w:sz w:val="18"/>
                <w:szCs w:val="18"/>
              </w:rPr>
              <w:t xml:space="preserve">Analyze distribution of wealth &amp; resource sustainability in U.S.</w:t>
            </w:r>
          </w:p>
        </w:tc>
        <w:tc>
          <w:tcPr>
            <w:tcW w:type="dxa" w:w="1860"/>
            <w:tcBorders>
              <w:top w:val="single" w:color="D6CFC3" w:sz="1"/>
              <w:left w:val="single" w:color="D6CFC3" w:sz="1"/>
              <w:bottom w:val="single" w:color="D6CFC3" w:sz="1"/>
              <w:right w:val="single" w:color="D6CFC3" w:sz="1"/>
            </w:tcBorders>
            <w:shd w:fill="E3ECDF" w:color="auto" w:val="clear"/>
            <w:tcMar>
              <w:top w:type="dxa" w:w="70"/>
              <w:left w:type="dxa" w:w="110"/>
              <w:bottom w:type="dxa" w:w="70"/>
              <w:right w:type="dxa" w:w="110"/>
            </w:tcMar>
            <w:vAlign w:val="center"/>
          </w:tcPr>
          <w:p>
            <w:pPr>
              <w:jc w:val="center"/>
            </w:pPr>
            <w:r>
              <w:rPr>
                <w:b/>
                <w:bCs/>
                <w:color w:val="4A6741"/>
                <w:sz w:val="22"/>
                <w:szCs w:val="22"/>
              </w:rPr>
              <w:t xml:space="preserve">●</w:t>
            </w:r>
          </w:p>
        </w:tc>
      </w:tr>
      <w:tr>
        <w:tc>
          <w:tcPr>
            <w:tcW w:type="dxa" w:w="1500"/>
            <w:tcBorders>
              <w:top w:val="single" w:color="D6CFC3" w:sz="1"/>
              <w:left w:val="single" w:color="D6CFC3" w:sz="1"/>
              <w:bottom w:val="single" w:color="D6CFC3" w:sz="1"/>
              <w:right w:val="single" w:color="D6CFC3" w:sz="1"/>
            </w:tcBorders>
            <w:shd w:fill="FFFFFF" w:color="auto" w:val="clear"/>
            <w:tcMar>
              <w:top w:type="dxa" w:w="70"/>
              <w:left w:type="dxa" w:w="110"/>
              <w:bottom w:type="dxa" w:w="70"/>
              <w:right w:type="dxa" w:w="110"/>
            </w:tcMar>
            <w:vAlign w:val="center"/>
          </w:tcPr>
          <w:p>
            <w:r>
              <w:rPr>
                <w:b/>
                <w:bCs/>
                <w:color w:val="1B2D45"/>
                <w:sz w:val="18"/>
                <w:szCs w:val="18"/>
              </w:rPr>
              <w:t xml:space="preserve">E4.6-8.6</w:t>
            </w:r>
          </w:p>
        </w:tc>
        <w:tc>
          <w:tcPr>
            <w:tcW w:type="dxa" w:w="6000"/>
            <w:tcBorders>
              <w:top w:val="single" w:color="D6CFC3" w:sz="1"/>
              <w:left w:val="single" w:color="D6CFC3" w:sz="1"/>
              <w:bottom w:val="single" w:color="D6CFC3" w:sz="1"/>
              <w:right w:val="single" w:color="D6CFC3" w:sz="1"/>
            </w:tcBorders>
            <w:shd w:fill="FFFFFF" w:color="auto" w:val="clear"/>
            <w:tcMar>
              <w:top w:type="dxa" w:w="70"/>
              <w:left w:type="dxa" w:w="110"/>
              <w:bottom w:type="dxa" w:w="70"/>
              <w:right w:type="dxa" w:w="110"/>
            </w:tcMar>
            <w:vAlign w:val="center"/>
          </w:tcPr>
          <w:p>
            <w:r>
              <w:rPr>
                <w:sz w:val="18"/>
                <w:szCs w:val="18"/>
              </w:rPr>
              <w:t xml:space="preserve">Explain costs &amp; benefits of U.S. trade policies.</w:t>
            </w:r>
          </w:p>
        </w:tc>
        <w:tc>
          <w:tcPr>
            <w:tcW w:type="dxa" w:w="1860"/>
            <w:tcBorders>
              <w:top w:val="single" w:color="D6CFC3" w:sz="1"/>
              <w:left w:val="single" w:color="D6CFC3" w:sz="1"/>
              <w:bottom w:val="single" w:color="D6CFC3" w:sz="1"/>
              <w:right w:val="single" w:color="D6CFC3" w:sz="1"/>
            </w:tcBorders>
            <w:shd w:fill="F6E2DA" w:color="auto" w:val="clear"/>
            <w:tcMar>
              <w:top w:type="dxa" w:w="70"/>
              <w:left w:type="dxa" w:w="110"/>
              <w:bottom w:type="dxa" w:w="70"/>
              <w:right w:type="dxa" w:w="110"/>
            </w:tcMar>
            <w:vAlign w:val="center"/>
          </w:tcPr>
          <w:p>
            <w:pPr>
              <w:jc w:val="center"/>
            </w:pPr>
            <w:r>
              <w:rPr>
                <w:b/>
                <w:bCs/>
                <w:color w:val="C75B2A"/>
                <w:sz w:val="22"/>
                <w:szCs w:val="22"/>
              </w:rPr>
              <w:t xml:space="preserve">○</w:t>
            </w:r>
          </w:p>
        </w:tc>
      </w:tr>
      <w:tr>
        <w:tc>
          <w:tcPr>
            <w:tcW w:type="dxa" w:w="1500"/>
            <w:tcBorders>
              <w:top w:val="single" w:color="D6CFC3" w:sz="1"/>
              <w:left w:val="single" w:color="D6CFC3" w:sz="1"/>
              <w:bottom w:val="single" w:color="D6CFC3" w:sz="1"/>
              <w:right w:val="single" w:color="D6CFC3" w:sz="1"/>
            </w:tcBorders>
            <w:shd w:fill="F5F0E8" w:color="auto" w:val="clear"/>
            <w:tcMar>
              <w:top w:type="dxa" w:w="70"/>
              <w:left w:type="dxa" w:w="110"/>
              <w:bottom w:type="dxa" w:w="70"/>
              <w:right w:type="dxa" w:w="110"/>
            </w:tcMar>
            <w:vAlign w:val="center"/>
          </w:tcPr>
          <w:p>
            <w:r>
              <w:rPr>
                <w:b/>
                <w:bCs/>
                <w:color w:val="1B2D45"/>
                <w:sz w:val="18"/>
                <w:szCs w:val="18"/>
              </w:rPr>
              <w:t xml:space="preserve">G1.6-8.5</w:t>
            </w:r>
          </w:p>
        </w:tc>
        <w:tc>
          <w:tcPr>
            <w:tcW w:type="dxa" w:w="6000"/>
            <w:tcBorders>
              <w:top w:val="single" w:color="D6CFC3" w:sz="1"/>
              <w:left w:val="single" w:color="D6CFC3" w:sz="1"/>
              <w:bottom w:val="single" w:color="D6CFC3" w:sz="1"/>
              <w:right w:val="single" w:color="D6CFC3" w:sz="1"/>
            </w:tcBorders>
            <w:shd w:fill="F5F0E8" w:color="auto" w:val="clear"/>
            <w:tcMar>
              <w:top w:type="dxa" w:w="70"/>
              <w:left w:type="dxa" w:w="110"/>
              <w:bottom w:type="dxa" w:w="70"/>
              <w:right w:type="dxa" w:w="110"/>
            </w:tcMar>
            <w:vAlign w:val="center"/>
          </w:tcPr>
          <w:p>
            <w:r>
              <w:rPr>
                <w:sz w:val="18"/>
                <w:szCs w:val="18"/>
              </w:rPr>
              <w:t xml:space="preserve">Explain physical &amp; cultural characteristics of U.S. regions.</w:t>
            </w:r>
          </w:p>
        </w:tc>
        <w:tc>
          <w:tcPr>
            <w:tcW w:type="dxa" w:w="1860"/>
            <w:tcBorders>
              <w:top w:val="single" w:color="D6CFC3" w:sz="1"/>
              <w:left w:val="single" w:color="D6CFC3" w:sz="1"/>
              <w:bottom w:val="single" w:color="D6CFC3" w:sz="1"/>
              <w:right w:val="single" w:color="D6CFC3" w:sz="1"/>
            </w:tcBorders>
            <w:shd w:fill="E3ECDF" w:color="auto" w:val="clear"/>
            <w:tcMar>
              <w:top w:type="dxa" w:w="70"/>
              <w:left w:type="dxa" w:w="110"/>
              <w:bottom w:type="dxa" w:w="70"/>
              <w:right w:type="dxa" w:w="110"/>
            </w:tcMar>
            <w:vAlign w:val="center"/>
          </w:tcPr>
          <w:p>
            <w:pPr>
              <w:jc w:val="center"/>
            </w:pPr>
            <w:r>
              <w:rPr>
                <w:b/>
                <w:bCs/>
                <w:color w:val="4A6741"/>
                <w:sz w:val="22"/>
                <w:szCs w:val="22"/>
              </w:rPr>
              <w:t xml:space="preserve">●</w:t>
            </w:r>
          </w:p>
        </w:tc>
      </w:tr>
      <w:tr>
        <w:tc>
          <w:tcPr>
            <w:tcW w:type="dxa" w:w="1500"/>
            <w:tcBorders>
              <w:top w:val="single" w:color="D6CFC3" w:sz="1"/>
              <w:left w:val="single" w:color="D6CFC3" w:sz="1"/>
              <w:bottom w:val="single" w:color="D6CFC3" w:sz="1"/>
              <w:right w:val="single" w:color="D6CFC3" w:sz="1"/>
            </w:tcBorders>
            <w:shd w:fill="FFFFFF" w:color="auto" w:val="clear"/>
            <w:tcMar>
              <w:top w:type="dxa" w:w="70"/>
              <w:left w:type="dxa" w:w="110"/>
              <w:bottom w:type="dxa" w:w="70"/>
              <w:right w:type="dxa" w:w="110"/>
            </w:tcMar>
            <w:vAlign w:val="center"/>
          </w:tcPr>
          <w:p>
            <w:r>
              <w:rPr>
                <w:b/>
                <w:bCs/>
                <w:color w:val="1B2D45"/>
                <w:sz w:val="18"/>
                <w:szCs w:val="18"/>
              </w:rPr>
              <w:t xml:space="preserve">G1.6-8.6</w:t>
            </w:r>
          </w:p>
        </w:tc>
        <w:tc>
          <w:tcPr>
            <w:tcW w:type="dxa" w:w="6000"/>
            <w:tcBorders>
              <w:top w:val="single" w:color="D6CFC3" w:sz="1"/>
              <w:left w:val="single" w:color="D6CFC3" w:sz="1"/>
              <w:bottom w:val="single" w:color="D6CFC3" w:sz="1"/>
              <w:right w:val="single" w:color="D6CFC3" w:sz="1"/>
            </w:tcBorders>
            <w:shd w:fill="FFFFFF" w:color="auto" w:val="clear"/>
            <w:tcMar>
              <w:top w:type="dxa" w:w="70"/>
              <w:left w:type="dxa" w:w="110"/>
              <w:bottom w:type="dxa" w:w="70"/>
              <w:right w:type="dxa" w:w="110"/>
            </w:tcMar>
            <w:vAlign w:val="center"/>
          </w:tcPr>
          <w:p>
            <w:r>
              <w:rPr>
                <w:sz w:val="18"/>
                <w:szCs w:val="18"/>
              </w:rPr>
              <w:t xml:space="preserve">Use maps/images to explain political, cultural &amp; economic dynamics.</w:t>
            </w:r>
          </w:p>
        </w:tc>
        <w:tc>
          <w:tcPr>
            <w:tcW w:type="dxa" w:w="1860"/>
            <w:tcBorders>
              <w:top w:val="single" w:color="D6CFC3" w:sz="1"/>
              <w:left w:val="single" w:color="D6CFC3" w:sz="1"/>
              <w:bottom w:val="single" w:color="D6CFC3" w:sz="1"/>
              <w:right w:val="single" w:color="D6CFC3" w:sz="1"/>
            </w:tcBorders>
            <w:shd w:fill="FBF1DD" w:color="auto" w:val="clear"/>
            <w:tcMar>
              <w:top w:type="dxa" w:w="70"/>
              <w:left w:type="dxa" w:w="110"/>
              <w:bottom w:type="dxa" w:w="70"/>
              <w:right w:type="dxa" w:w="110"/>
            </w:tcMar>
            <w:vAlign w:val="center"/>
          </w:tcPr>
          <w:p>
            <w:pPr>
              <w:jc w:val="center"/>
            </w:pPr>
            <w:r>
              <w:rPr>
                <w:b/>
                <w:bCs/>
                <w:color w:val="B8893B"/>
                <w:sz w:val="22"/>
                <w:szCs w:val="22"/>
              </w:rPr>
              <w:t xml:space="preserve">◐</w:t>
            </w:r>
          </w:p>
        </w:tc>
      </w:tr>
      <w:tr>
        <w:tc>
          <w:tcPr>
            <w:tcW w:type="dxa" w:w="1500"/>
            <w:tcBorders>
              <w:top w:val="single" w:color="D6CFC3" w:sz="1"/>
              <w:left w:val="single" w:color="D6CFC3" w:sz="1"/>
              <w:bottom w:val="single" w:color="D6CFC3" w:sz="1"/>
              <w:right w:val="single" w:color="D6CFC3" w:sz="1"/>
            </w:tcBorders>
            <w:shd w:fill="F5F0E8" w:color="auto" w:val="clear"/>
            <w:tcMar>
              <w:top w:type="dxa" w:w="70"/>
              <w:left w:type="dxa" w:w="110"/>
              <w:bottom w:type="dxa" w:w="70"/>
              <w:right w:type="dxa" w:w="110"/>
            </w:tcMar>
            <w:vAlign w:val="center"/>
          </w:tcPr>
          <w:p>
            <w:r>
              <w:rPr>
                <w:b/>
                <w:bCs/>
                <w:color w:val="1B2D45"/>
                <w:sz w:val="18"/>
                <w:szCs w:val="18"/>
              </w:rPr>
              <w:t xml:space="preserve">G2.6-8.6</w:t>
            </w:r>
          </w:p>
        </w:tc>
        <w:tc>
          <w:tcPr>
            <w:tcW w:type="dxa" w:w="6000"/>
            <w:tcBorders>
              <w:top w:val="single" w:color="D6CFC3" w:sz="1"/>
              <w:left w:val="single" w:color="D6CFC3" w:sz="1"/>
              <w:bottom w:val="single" w:color="D6CFC3" w:sz="1"/>
              <w:right w:val="single" w:color="D6CFC3" w:sz="1"/>
            </w:tcBorders>
            <w:shd w:fill="F5F0E8" w:color="auto" w:val="clear"/>
            <w:tcMar>
              <w:top w:type="dxa" w:w="70"/>
              <w:left w:type="dxa" w:w="110"/>
              <w:bottom w:type="dxa" w:w="70"/>
              <w:right w:type="dxa" w:w="110"/>
            </w:tcMar>
            <w:vAlign w:val="center"/>
          </w:tcPr>
          <w:p>
            <w:r>
              <w:rPr>
                <w:sz w:val="18"/>
                <w:szCs w:val="18"/>
              </w:rPr>
              <w:t xml:space="preserve">Analyze environment–people interaction in the U.S.</w:t>
            </w:r>
          </w:p>
        </w:tc>
        <w:tc>
          <w:tcPr>
            <w:tcW w:type="dxa" w:w="1860"/>
            <w:tcBorders>
              <w:top w:val="single" w:color="D6CFC3" w:sz="1"/>
              <w:left w:val="single" w:color="D6CFC3" w:sz="1"/>
              <w:bottom w:val="single" w:color="D6CFC3" w:sz="1"/>
              <w:right w:val="single" w:color="D6CFC3" w:sz="1"/>
            </w:tcBorders>
            <w:shd w:fill="E3ECDF" w:color="auto" w:val="clear"/>
            <w:tcMar>
              <w:top w:type="dxa" w:w="70"/>
              <w:left w:type="dxa" w:w="110"/>
              <w:bottom w:type="dxa" w:w="70"/>
              <w:right w:type="dxa" w:w="110"/>
            </w:tcMar>
            <w:vAlign w:val="center"/>
          </w:tcPr>
          <w:p>
            <w:pPr>
              <w:jc w:val="center"/>
            </w:pPr>
            <w:r>
              <w:rPr>
                <w:b/>
                <w:bCs/>
                <w:color w:val="4A6741"/>
                <w:sz w:val="22"/>
                <w:szCs w:val="22"/>
              </w:rPr>
              <w:t xml:space="preserve">●</w:t>
            </w:r>
          </w:p>
        </w:tc>
      </w:tr>
      <w:tr>
        <w:tc>
          <w:tcPr>
            <w:tcW w:type="dxa" w:w="1500"/>
            <w:tcBorders>
              <w:top w:val="single" w:color="D6CFC3" w:sz="1"/>
              <w:left w:val="single" w:color="D6CFC3" w:sz="1"/>
              <w:bottom w:val="single" w:color="D6CFC3" w:sz="1"/>
              <w:right w:val="single" w:color="D6CFC3" w:sz="1"/>
            </w:tcBorders>
            <w:shd w:fill="FFFFFF" w:color="auto" w:val="clear"/>
            <w:tcMar>
              <w:top w:type="dxa" w:w="70"/>
              <w:left w:type="dxa" w:w="110"/>
              <w:bottom w:type="dxa" w:w="70"/>
              <w:right w:type="dxa" w:w="110"/>
            </w:tcMar>
            <w:vAlign w:val="center"/>
          </w:tcPr>
          <w:p>
            <w:r>
              <w:rPr>
                <w:b/>
                <w:bCs/>
                <w:color w:val="1B2D45"/>
                <w:sz w:val="18"/>
                <w:szCs w:val="18"/>
              </w:rPr>
              <w:t xml:space="preserve">G2.6-8.7</w:t>
            </w:r>
          </w:p>
        </w:tc>
        <w:tc>
          <w:tcPr>
            <w:tcW w:type="dxa" w:w="6000"/>
            <w:tcBorders>
              <w:top w:val="single" w:color="D6CFC3" w:sz="1"/>
              <w:left w:val="single" w:color="D6CFC3" w:sz="1"/>
              <w:bottom w:val="single" w:color="D6CFC3" w:sz="1"/>
              <w:right w:val="single" w:color="D6CFC3" w:sz="1"/>
            </w:tcBorders>
            <w:shd w:fill="FFFFFF" w:color="auto" w:val="clear"/>
            <w:tcMar>
              <w:top w:type="dxa" w:w="70"/>
              <w:left w:type="dxa" w:w="110"/>
              <w:bottom w:type="dxa" w:w="70"/>
              <w:right w:type="dxa" w:w="110"/>
            </w:tcMar>
            <w:vAlign w:val="center"/>
          </w:tcPr>
          <w:p>
            <w:r>
              <w:rPr>
                <w:sz w:val="18"/>
                <w:szCs w:val="18"/>
              </w:rPr>
              <w:t xml:space="preserve">Explain cultural diffusion in the U.S.</w:t>
            </w:r>
          </w:p>
        </w:tc>
        <w:tc>
          <w:tcPr>
            <w:tcW w:type="dxa" w:w="1860"/>
            <w:tcBorders>
              <w:top w:val="single" w:color="D6CFC3" w:sz="1"/>
              <w:left w:val="single" w:color="D6CFC3" w:sz="1"/>
              <w:bottom w:val="single" w:color="D6CFC3" w:sz="1"/>
              <w:right w:val="single" w:color="D6CFC3" w:sz="1"/>
            </w:tcBorders>
            <w:shd w:fill="FBF1DD" w:color="auto" w:val="clear"/>
            <w:tcMar>
              <w:top w:type="dxa" w:w="70"/>
              <w:left w:type="dxa" w:w="110"/>
              <w:bottom w:type="dxa" w:w="70"/>
              <w:right w:type="dxa" w:w="110"/>
            </w:tcMar>
            <w:vAlign w:val="center"/>
          </w:tcPr>
          <w:p>
            <w:pPr>
              <w:jc w:val="center"/>
            </w:pPr>
            <w:r>
              <w:rPr>
                <w:b/>
                <w:bCs/>
                <w:color w:val="B8893B"/>
                <w:sz w:val="22"/>
                <w:szCs w:val="22"/>
              </w:rPr>
              <w:t xml:space="preserve">◐</w:t>
            </w:r>
          </w:p>
        </w:tc>
      </w:tr>
      <w:tr>
        <w:tc>
          <w:tcPr>
            <w:tcW w:type="dxa" w:w="1500"/>
            <w:tcBorders>
              <w:top w:val="single" w:color="D6CFC3" w:sz="1"/>
              <w:left w:val="single" w:color="D6CFC3" w:sz="1"/>
              <w:bottom w:val="single" w:color="D6CFC3" w:sz="1"/>
              <w:right w:val="single" w:color="D6CFC3" w:sz="1"/>
            </w:tcBorders>
            <w:shd w:fill="F5F0E8" w:color="auto" w:val="clear"/>
            <w:tcMar>
              <w:top w:type="dxa" w:w="70"/>
              <w:left w:type="dxa" w:w="110"/>
              <w:bottom w:type="dxa" w:w="70"/>
              <w:right w:type="dxa" w:w="110"/>
            </w:tcMar>
            <w:vAlign w:val="center"/>
          </w:tcPr>
          <w:p>
            <w:r>
              <w:rPr>
                <w:b/>
                <w:bCs/>
                <w:color w:val="1B2D45"/>
                <w:sz w:val="18"/>
                <w:szCs w:val="18"/>
              </w:rPr>
              <w:t xml:space="preserve">G2.6-8.8</w:t>
            </w:r>
          </w:p>
        </w:tc>
        <w:tc>
          <w:tcPr>
            <w:tcW w:type="dxa" w:w="6000"/>
            <w:tcBorders>
              <w:top w:val="single" w:color="D6CFC3" w:sz="1"/>
              <w:left w:val="single" w:color="D6CFC3" w:sz="1"/>
              <w:bottom w:val="single" w:color="D6CFC3" w:sz="1"/>
              <w:right w:val="single" w:color="D6CFC3" w:sz="1"/>
            </w:tcBorders>
            <w:shd w:fill="F5F0E8" w:color="auto" w:val="clear"/>
            <w:tcMar>
              <w:top w:type="dxa" w:w="70"/>
              <w:left w:type="dxa" w:w="110"/>
              <w:bottom w:type="dxa" w:w="70"/>
              <w:right w:type="dxa" w:w="110"/>
            </w:tcMar>
            <w:vAlign w:val="center"/>
          </w:tcPr>
          <w:p>
            <w:r>
              <w:rPr>
                <w:sz w:val="18"/>
                <w:szCs w:val="18"/>
              </w:rPr>
              <w:t xml:space="preserve">Explain migration as a catalyst for U.S. growth.</w:t>
            </w:r>
          </w:p>
        </w:tc>
        <w:tc>
          <w:tcPr>
            <w:tcW w:type="dxa" w:w="1860"/>
            <w:tcBorders>
              <w:top w:val="single" w:color="D6CFC3" w:sz="1"/>
              <w:left w:val="single" w:color="D6CFC3" w:sz="1"/>
              <w:bottom w:val="single" w:color="D6CFC3" w:sz="1"/>
              <w:right w:val="single" w:color="D6CFC3" w:sz="1"/>
            </w:tcBorders>
            <w:shd w:fill="E3ECDF" w:color="auto" w:val="clear"/>
            <w:tcMar>
              <w:top w:type="dxa" w:w="70"/>
              <w:left w:type="dxa" w:w="110"/>
              <w:bottom w:type="dxa" w:w="70"/>
              <w:right w:type="dxa" w:w="110"/>
            </w:tcMar>
            <w:vAlign w:val="center"/>
          </w:tcPr>
          <w:p>
            <w:pPr>
              <w:jc w:val="center"/>
            </w:pPr>
            <w:r>
              <w:rPr>
                <w:b/>
                <w:bCs/>
                <w:color w:val="4A6741"/>
                <w:sz w:val="22"/>
                <w:szCs w:val="22"/>
              </w:rPr>
              <w:t xml:space="preserve">●</w:t>
            </w:r>
          </w:p>
        </w:tc>
      </w:tr>
      <w:tr>
        <w:tc>
          <w:tcPr>
            <w:tcW w:type="dxa" w:w="1500"/>
            <w:tcBorders>
              <w:top w:val="single" w:color="D6CFC3" w:sz="1"/>
              <w:left w:val="single" w:color="D6CFC3" w:sz="1"/>
              <w:bottom w:val="single" w:color="D6CFC3" w:sz="1"/>
              <w:right w:val="single" w:color="D6CFC3" w:sz="1"/>
            </w:tcBorders>
            <w:shd w:fill="FFFFFF" w:color="auto" w:val="clear"/>
            <w:tcMar>
              <w:top w:type="dxa" w:w="70"/>
              <w:left w:type="dxa" w:w="110"/>
              <w:bottom w:type="dxa" w:w="70"/>
              <w:right w:type="dxa" w:w="110"/>
            </w:tcMar>
            <w:vAlign w:val="center"/>
          </w:tcPr>
          <w:p>
            <w:r>
              <w:rPr>
                <w:b/>
                <w:bCs/>
                <w:color w:val="1B2D45"/>
                <w:sz w:val="18"/>
                <w:szCs w:val="18"/>
              </w:rPr>
              <w:t xml:space="preserve">G3.6-8.3</w:t>
            </w:r>
          </w:p>
        </w:tc>
        <w:tc>
          <w:tcPr>
            <w:tcW w:type="dxa" w:w="6000"/>
            <w:tcBorders>
              <w:top w:val="single" w:color="D6CFC3" w:sz="1"/>
              <w:left w:val="single" w:color="D6CFC3" w:sz="1"/>
              <w:bottom w:val="single" w:color="D6CFC3" w:sz="1"/>
              <w:right w:val="single" w:color="D6CFC3" w:sz="1"/>
            </w:tcBorders>
            <w:shd w:fill="FFFFFF" w:color="auto" w:val="clear"/>
            <w:tcMar>
              <w:top w:type="dxa" w:w="70"/>
              <w:left w:type="dxa" w:w="110"/>
              <w:bottom w:type="dxa" w:w="70"/>
              <w:right w:type="dxa" w:w="110"/>
            </w:tcMar>
            <w:vAlign w:val="center"/>
          </w:tcPr>
          <w:p>
            <w:r>
              <w:rPr>
                <w:sz w:val="18"/>
                <w:szCs w:val="18"/>
              </w:rPr>
              <w:t xml:space="preserve">Use U.S. geography to understand diversity, trade, sustainability.</w:t>
            </w:r>
          </w:p>
        </w:tc>
        <w:tc>
          <w:tcPr>
            <w:tcW w:type="dxa" w:w="1860"/>
            <w:tcBorders>
              <w:top w:val="single" w:color="D6CFC3" w:sz="1"/>
              <w:left w:val="single" w:color="D6CFC3" w:sz="1"/>
              <w:bottom w:val="single" w:color="D6CFC3" w:sz="1"/>
              <w:right w:val="single" w:color="D6CFC3" w:sz="1"/>
            </w:tcBorders>
            <w:shd w:fill="FBF1DD" w:color="auto" w:val="clear"/>
            <w:tcMar>
              <w:top w:type="dxa" w:w="70"/>
              <w:left w:type="dxa" w:w="110"/>
              <w:bottom w:type="dxa" w:w="70"/>
              <w:right w:type="dxa" w:w="110"/>
            </w:tcMar>
            <w:vAlign w:val="center"/>
          </w:tcPr>
          <w:p>
            <w:pPr>
              <w:jc w:val="center"/>
            </w:pPr>
            <w:r>
              <w:rPr>
                <w:b/>
                <w:bCs/>
                <w:color w:val="B8893B"/>
                <w:sz w:val="22"/>
                <w:szCs w:val="22"/>
              </w:rPr>
              <w:t xml:space="preserve">◐</w:t>
            </w:r>
          </w:p>
        </w:tc>
      </w:tr>
      <w:tr>
        <w:tc>
          <w:tcPr>
            <w:tcW w:type="dxa" w:w="1500"/>
            <w:tcBorders>
              <w:top w:val="single" w:color="D6CFC3" w:sz="1"/>
              <w:left w:val="single" w:color="D6CFC3" w:sz="1"/>
              <w:bottom w:val="single" w:color="D6CFC3" w:sz="1"/>
              <w:right w:val="single" w:color="D6CFC3" w:sz="1"/>
            </w:tcBorders>
            <w:shd w:fill="F5F0E8" w:color="auto" w:val="clear"/>
            <w:tcMar>
              <w:top w:type="dxa" w:w="70"/>
              <w:left w:type="dxa" w:w="110"/>
              <w:bottom w:type="dxa" w:w="70"/>
              <w:right w:type="dxa" w:w="110"/>
            </w:tcMar>
            <w:vAlign w:val="center"/>
          </w:tcPr>
          <w:p>
            <w:r>
              <w:rPr>
                <w:b/>
                <w:bCs/>
                <w:color w:val="1B2D45"/>
                <w:sz w:val="18"/>
                <w:szCs w:val="18"/>
              </w:rPr>
              <w:t xml:space="preserve">H1.6-8.6</w:t>
            </w:r>
          </w:p>
        </w:tc>
        <w:tc>
          <w:tcPr>
            <w:tcW w:type="dxa" w:w="6000"/>
            <w:tcBorders>
              <w:top w:val="single" w:color="D6CFC3" w:sz="1"/>
              <w:left w:val="single" w:color="D6CFC3" w:sz="1"/>
              <w:bottom w:val="single" w:color="D6CFC3" w:sz="1"/>
              <w:right w:val="single" w:color="D6CFC3" w:sz="1"/>
            </w:tcBorders>
            <w:shd w:fill="F5F0E8" w:color="auto" w:val="clear"/>
            <w:tcMar>
              <w:top w:type="dxa" w:w="70"/>
              <w:left w:type="dxa" w:w="110"/>
              <w:bottom w:type="dxa" w:w="70"/>
              <w:right w:type="dxa" w:w="110"/>
            </w:tcMar>
            <w:vAlign w:val="center"/>
          </w:tcPr>
          <w:p>
            <w:r>
              <w:rPr>
                <w:sz w:val="18"/>
                <w:szCs w:val="18"/>
              </w:rPr>
              <w:t xml:space="preserve">Explain eras in U.S. history, 1763–1877 (four eras).</w:t>
            </w:r>
          </w:p>
        </w:tc>
        <w:tc>
          <w:tcPr>
            <w:tcW w:type="dxa" w:w="1860"/>
            <w:tcBorders>
              <w:top w:val="single" w:color="D6CFC3" w:sz="1"/>
              <w:left w:val="single" w:color="D6CFC3" w:sz="1"/>
              <w:bottom w:val="single" w:color="D6CFC3" w:sz="1"/>
              <w:right w:val="single" w:color="D6CFC3" w:sz="1"/>
            </w:tcBorders>
            <w:shd w:fill="E3ECDF" w:color="auto" w:val="clear"/>
            <w:tcMar>
              <w:top w:type="dxa" w:w="70"/>
              <w:left w:type="dxa" w:w="110"/>
              <w:bottom w:type="dxa" w:w="70"/>
              <w:right w:type="dxa" w:w="110"/>
            </w:tcMar>
            <w:vAlign w:val="center"/>
          </w:tcPr>
          <w:p>
            <w:pPr>
              <w:jc w:val="center"/>
            </w:pPr>
            <w:r>
              <w:rPr>
                <w:b/>
                <w:bCs/>
                <w:color w:val="4A6741"/>
                <w:sz w:val="22"/>
                <w:szCs w:val="22"/>
              </w:rPr>
              <w:t xml:space="preserve">●</w:t>
            </w:r>
          </w:p>
        </w:tc>
      </w:tr>
      <w:tr>
        <w:tc>
          <w:tcPr>
            <w:tcW w:type="dxa" w:w="1500"/>
            <w:tcBorders>
              <w:top w:val="single" w:color="D6CFC3" w:sz="1"/>
              <w:left w:val="single" w:color="D6CFC3" w:sz="1"/>
              <w:bottom w:val="single" w:color="D6CFC3" w:sz="1"/>
              <w:right w:val="single" w:color="D6CFC3" w:sz="1"/>
            </w:tcBorders>
            <w:shd w:fill="FFFFFF" w:color="auto" w:val="clear"/>
            <w:tcMar>
              <w:top w:type="dxa" w:w="70"/>
              <w:left w:type="dxa" w:w="110"/>
              <w:bottom w:type="dxa" w:w="70"/>
              <w:right w:type="dxa" w:w="110"/>
            </w:tcMar>
            <w:vAlign w:val="center"/>
          </w:tcPr>
          <w:p>
            <w:r>
              <w:rPr>
                <w:b/>
                <w:bCs/>
                <w:color w:val="1B2D45"/>
                <w:sz w:val="18"/>
                <w:szCs w:val="18"/>
              </w:rPr>
              <w:t xml:space="preserve">H2.6-8.5</w:t>
            </w:r>
          </w:p>
        </w:tc>
        <w:tc>
          <w:tcPr>
            <w:tcW w:type="dxa" w:w="6000"/>
            <w:tcBorders>
              <w:top w:val="single" w:color="D6CFC3" w:sz="1"/>
              <w:left w:val="single" w:color="D6CFC3" w:sz="1"/>
              <w:bottom w:val="single" w:color="D6CFC3" w:sz="1"/>
              <w:right w:val="single" w:color="D6CFC3" w:sz="1"/>
            </w:tcBorders>
            <w:shd w:fill="FFFFFF" w:color="auto" w:val="clear"/>
            <w:tcMar>
              <w:top w:type="dxa" w:w="70"/>
              <w:left w:type="dxa" w:w="110"/>
              <w:bottom w:type="dxa" w:w="70"/>
              <w:right w:type="dxa" w:w="110"/>
            </w:tcMar>
            <w:vAlign w:val="center"/>
          </w:tcPr>
          <w:p>
            <w:r>
              <w:rPr>
                <w:sz w:val="18"/>
                <w:szCs w:val="18"/>
              </w:rPr>
              <w:t xml:space="preserve">Analyze how individuals &amp; movements shaped U.S. history.</w:t>
            </w:r>
          </w:p>
        </w:tc>
        <w:tc>
          <w:tcPr>
            <w:tcW w:type="dxa" w:w="1860"/>
            <w:tcBorders>
              <w:top w:val="single" w:color="D6CFC3" w:sz="1"/>
              <w:left w:val="single" w:color="D6CFC3" w:sz="1"/>
              <w:bottom w:val="single" w:color="D6CFC3" w:sz="1"/>
              <w:right w:val="single" w:color="D6CFC3" w:sz="1"/>
            </w:tcBorders>
            <w:shd w:fill="E3ECDF" w:color="auto" w:val="clear"/>
            <w:tcMar>
              <w:top w:type="dxa" w:w="70"/>
              <w:left w:type="dxa" w:w="110"/>
              <w:bottom w:type="dxa" w:w="70"/>
              <w:right w:type="dxa" w:w="110"/>
            </w:tcMar>
            <w:vAlign w:val="center"/>
          </w:tcPr>
          <w:p>
            <w:pPr>
              <w:jc w:val="center"/>
            </w:pPr>
            <w:r>
              <w:rPr>
                <w:b/>
                <w:bCs/>
                <w:color w:val="4A6741"/>
                <w:sz w:val="22"/>
                <w:szCs w:val="22"/>
              </w:rPr>
              <w:t xml:space="preserve">●</w:t>
            </w:r>
          </w:p>
        </w:tc>
      </w:tr>
      <w:tr>
        <w:tc>
          <w:tcPr>
            <w:tcW w:type="dxa" w:w="1500"/>
            <w:tcBorders>
              <w:top w:val="single" w:color="D6CFC3" w:sz="1"/>
              <w:left w:val="single" w:color="D6CFC3" w:sz="1"/>
              <w:bottom w:val="single" w:color="D6CFC3" w:sz="1"/>
              <w:right w:val="single" w:color="D6CFC3" w:sz="1"/>
            </w:tcBorders>
            <w:shd w:fill="F5F0E8" w:color="auto" w:val="clear"/>
            <w:tcMar>
              <w:top w:type="dxa" w:w="70"/>
              <w:left w:type="dxa" w:w="110"/>
              <w:bottom w:type="dxa" w:w="70"/>
              <w:right w:type="dxa" w:w="110"/>
            </w:tcMar>
            <w:vAlign w:val="center"/>
          </w:tcPr>
          <w:p>
            <w:r>
              <w:rPr>
                <w:b/>
                <w:bCs/>
                <w:color w:val="1B2D45"/>
                <w:sz w:val="18"/>
                <w:szCs w:val="18"/>
              </w:rPr>
              <w:t xml:space="preserve">H2.6-8.6</w:t>
            </w:r>
          </w:p>
        </w:tc>
        <w:tc>
          <w:tcPr>
            <w:tcW w:type="dxa" w:w="6000"/>
            <w:tcBorders>
              <w:top w:val="single" w:color="D6CFC3" w:sz="1"/>
              <w:left w:val="single" w:color="D6CFC3" w:sz="1"/>
              <w:bottom w:val="single" w:color="D6CFC3" w:sz="1"/>
              <w:right w:val="single" w:color="D6CFC3" w:sz="1"/>
            </w:tcBorders>
            <w:shd w:fill="F5F0E8" w:color="auto" w:val="clear"/>
            <w:tcMar>
              <w:top w:type="dxa" w:w="70"/>
              <w:left w:type="dxa" w:w="110"/>
              <w:bottom w:type="dxa" w:w="70"/>
              <w:right w:type="dxa" w:w="110"/>
            </w:tcMar>
            <w:vAlign w:val="center"/>
          </w:tcPr>
          <w:p>
            <w:r>
              <w:rPr>
                <w:sz w:val="18"/>
                <w:szCs w:val="18"/>
              </w:rPr>
              <w:t xml:space="preserve">Analyze how cultures &amp; ethnic groups contributed.</w:t>
            </w:r>
          </w:p>
        </w:tc>
        <w:tc>
          <w:tcPr>
            <w:tcW w:type="dxa" w:w="1860"/>
            <w:tcBorders>
              <w:top w:val="single" w:color="D6CFC3" w:sz="1"/>
              <w:left w:val="single" w:color="D6CFC3" w:sz="1"/>
              <w:bottom w:val="single" w:color="D6CFC3" w:sz="1"/>
              <w:right w:val="single" w:color="D6CFC3" w:sz="1"/>
            </w:tcBorders>
            <w:shd w:fill="E3ECDF" w:color="auto" w:val="clear"/>
            <w:tcMar>
              <w:top w:type="dxa" w:w="70"/>
              <w:left w:type="dxa" w:w="110"/>
              <w:bottom w:type="dxa" w:w="70"/>
              <w:right w:type="dxa" w:w="110"/>
            </w:tcMar>
            <w:vAlign w:val="center"/>
          </w:tcPr>
          <w:p>
            <w:pPr>
              <w:jc w:val="center"/>
            </w:pPr>
            <w:r>
              <w:rPr>
                <w:b/>
                <w:bCs/>
                <w:color w:val="4A6741"/>
                <w:sz w:val="22"/>
                <w:szCs w:val="22"/>
              </w:rPr>
              <w:t xml:space="preserve">●</w:t>
            </w:r>
          </w:p>
        </w:tc>
      </w:tr>
      <w:tr>
        <w:tc>
          <w:tcPr>
            <w:tcW w:type="dxa" w:w="1500"/>
            <w:tcBorders>
              <w:top w:val="single" w:color="D6CFC3" w:sz="1"/>
              <w:left w:val="single" w:color="D6CFC3" w:sz="1"/>
              <w:bottom w:val="single" w:color="D6CFC3" w:sz="1"/>
              <w:right w:val="single" w:color="D6CFC3" w:sz="1"/>
            </w:tcBorders>
            <w:shd w:fill="FFFFFF" w:color="auto" w:val="clear"/>
            <w:tcMar>
              <w:top w:type="dxa" w:w="70"/>
              <w:left w:type="dxa" w:w="110"/>
              <w:bottom w:type="dxa" w:w="70"/>
              <w:right w:type="dxa" w:w="110"/>
            </w:tcMar>
            <w:vAlign w:val="center"/>
          </w:tcPr>
          <w:p>
            <w:r>
              <w:rPr>
                <w:b/>
                <w:bCs/>
                <w:color w:val="1B2D45"/>
                <w:sz w:val="18"/>
                <w:szCs w:val="18"/>
              </w:rPr>
              <w:t xml:space="preserve">H2.6-8.7</w:t>
            </w:r>
          </w:p>
        </w:tc>
        <w:tc>
          <w:tcPr>
            <w:tcW w:type="dxa" w:w="6000"/>
            <w:tcBorders>
              <w:top w:val="single" w:color="D6CFC3" w:sz="1"/>
              <w:left w:val="single" w:color="D6CFC3" w:sz="1"/>
              <w:bottom w:val="single" w:color="D6CFC3" w:sz="1"/>
              <w:right w:val="single" w:color="D6CFC3" w:sz="1"/>
            </w:tcBorders>
            <w:shd w:fill="FFFFFF" w:color="auto" w:val="clear"/>
            <w:tcMar>
              <w:top w:type="dxa" w:w="70"/>
              <w:left w:type="dxa" w:w="110"/>
              <w:bottom w:type="dxa" w:w="70"/>
              <w:right w:type="dxa" w:w="110"/>
            </w:tcMar>
            <w:vAlign w:val="center"/>
          </w:tcPr>
          <w:p>
            <w:r>
              <w:rPr>
                <w:sz w:val="18"/>
                <w:szCs w:val="18"/>
              </w:rPr>
              <w:t xml:space="preserve">Analyze how technology &amp; ideas impacted U.S. history.</w:t>
            </w:r>
          </w:p>
        </w:tc>
        <w:tc>
          <w:tcPr>
            <w:tcW w:type="dxa" w:w="1860"/>
            <w:tcBorders>
              <w:top w:val="single" w:color="D6CFC3" w:sz="1"/>
              <w:left w:val="single" w:color="D6CFC3" w:sz="1"/>
              <w:bottom w:val="single" w:color="D6CFC3" w:sz="1"/>
              <w:right w:val="single" w:color="D6CFC3" w:sz="1"/>
            </w:tcBorders>
            <w:shd w:fill="E3ECDF" w:color="auto" w:val="clear"/>
            <w:tcMar>
              <w:top w:type="dxa" w:w="70"/>
              <w:left w:type="dxa" w:w="110"/>
              <w:bottom w:type="dxa" w:w="70"/>
              <w:right w:type="dxa" w:w="110"/>
            </w:tcMar>
            <w:vAlign w:val="center"/>
          </w:tcPr>
          <w:p>
            <w:pPr>
              <w:jc w:val="center"/>
            </w:pPr>
            <w:r>
              <w:rPr>
                <w:b/>
                <w:bCs/>
                <w:color w:val="4A6741"/>
                <w:sz w:val="22"/>
                <w:szCs w:val="22"/>
              </w:rPr>
              <w:t xml:space="preserve">●</w:t>
            </w:r>
          </w:p>
        </w:tc>
      </w:tr>
      <w:tr>
        <w:tc>
          <w:tcPr>
            <w:tcW w:type="dxa" w:w="1500"/>
            <w:tcBorders>
              <w:top w:val="single" w:color="D6CFC3" w:sz="1"/>
              <w:left w:val="single" w:color="D6CFC3" w:sz="1"/>
              <w:bottom w:val="single" w:color="D6CFC3" w:sz="1"/>
              <w:right w:val="single" w:color="D6CFC3" w:sz="1"/>
            </w:tcBorders>
            <w:shd w:fill="F5F0E8" w:color="auto" w:val="clear"/>
            <w:tcMar>
              <w:top w:type="dxa" w:w="70"/>
              <w:left w:type="dxa" w:w="110"/>
              <w:bottom w:type="dxa" w:w="70"/>
              <w:right w:type="dxa" w:w="110"/>
            </w:tcMar>
            <w:vAlign w:val="center"/>
          </w:tcPr>
          <w:p>
            <w:r>
              <w:rPr>
                <w:b/>
                <w:bCs/>
                <w:color w:val="1B2D45"/>
                <w:sz w:val="18"/>
                <w:szCs w:val="18"/>
              </w:rPr>
              <w:t xml:space="preserve">H3.6-8.4</w:t>
            </w:r>
          </w:p>
        </w:tc>
        <w:tc>
          <w:tcPr>
            <w:tcW w:type="dxa" w:w="6000"/>
            <w:tcBorders>
              <w:top w:val="single" w:color="D6CFC3" w:sz="1"/>
              <w:left w:val="single" w:color="D6CFC3" w:sz="1"/>
              <w:bottom w:val="single" w:color="D6CFC3" w:sz="1"/>
              <w:right w:val="single" w:color="D6CFC3" w:sz="1"/>
            </w:tcBorders>
            <w:shd w:fill="F5F0E8" w:color="auto" w:val="clear"/>
            <w:tcMar>
              <w:top w:type="dxa" w:w="70"/>
              <w:left w:type="dxa" w:w="110"/>
              <w:bottom w:type="dxa" w:w="70"/>
              <w:right w:type="dxa" w:w="110"/>
            </w:tcMar>
            <w:vAlign w:val="center"/>
          </w:tcPr>
          <w:p>
            <w:r>
              <w:rPr>
                <w:sz w:val="18"/>
                <w:szCs w:val="18"/>
              </w:rPr>
              <w:t xml:space="preserve">Interpret U.S. historical materials from multiple perspectives.</w:t>
            </w:r>
          </w:p>
        </w:tc>
        <w:tc>
          <w:tcPr>
            <w:tcW w:type="dxa" w:w="1860"/>
            <w:tcBorders>
              <w:top w:val="single" w:color="D6CFC3" w:sz="1"/>
              <w:left w:val="single" w:color="D6CFC3" w:sz="1"/>
              <w:bottom w:val="single" w:color="D6CFC3" w:sz="1"/>
              <w:right w:val="single" w:color="D6CFC3" w:sz="1"/>
            </w:tcBorders>
            <w:shd w:fill="E3ECDF" w:color="auto" w:val="clear"/>
            <w:tcMar>
              <w:top w:type="dxa" w:w="70"/>
              <w:left w:type="dxa" w:w="110"/>
              <w:bottom w:type="dxa" w:w="70"/>
              <w:right w:type="dxa" w:w="110"/>
            </w:tcMar>
            <w:vAlign w:val="center"/>
          </w:tcPr>
          <w:p>
            <w:pPr>
              <w:jc w:val="center"/>
            </w:pPr>
            <w:r>
              <w:rPr>
                <w:b/>
                <w:bCs/>
                <w:color w:val="4A6741"/>
                <w:sz w:val="22"/>
                <w:szCs w:val="22"/>
              </w:rPr>
              <w:t xml:space="preserve">●</w:t>
            </w:r>
          </w:p>
        </w:tc>
      </w:tr>
      <w:tr>
        <w:tc>
          <w:tcPr>
            <w:tcW w:type="dxa" w:w="1500"/>
            <w:tcBorders>
              <w:top w:val="single" w:color="D6CFC3" w:sz="1"/>
              <w:left w:val="single" w:color="D6CFC3" w:sz="1"/>
              <w:bottom w:val="single" w:color="D6CFC3" w:sz="1"/>
              <w:right w:val="single" w:color="D6CFC3" w:sz="1"/>
            </w:tcBorders>
            <w:shd w:fill="FFFFFF" w:color="auto" w:val="clear"/>
            <w:tcMar>
              <w:top w:type="dxa" w:w="70"/>
              <w:left w:type="dxa" w:w="110"/>
              <w:bottom w:type="dxa" w:w="70"/>
              <w:right w:type="dxa" w:w="110"/>
            </w:tcMar>
            <w:vAlign w:val="center"/>
          </w:tcPr>
          <w:p>
            <w:r>
              <w:rPr>
                <w:b/>
                <w:bCs/>
                <w:color w:val="1B2D45"/>
                <w:sz w:val="18"/>
                <w:szCs w:val="18"/>
              </w:rPr>
              <w:t xml:space="preserve">H3.6-8.5</w:t>
            </w:r>
          </w:p>
        </w:tc>
        <w:tc>
          <w:tcPr>
            <w:tcW w:type="dxa" w:w="6000"/>
            <w:tcBorders>
              <w:top w:val="single" w:color="D6CFC3" w:sz="1"/>
              <w:left w:val="single" w:color="D6CFC3" w:sz="1"/>
              <w:bottom w:val="single" w:color="D6CFC3" w:sz="1"/>
              <w:right w:val="single" w:color="D6CFC3" w:sz="1"/>
            </w:tcBorders>
            <w:shd w:fill="FFFFFF" w:color="auto" w:val="clear"/>
            <w:tcMar>
              <w:top w:type="dxa" w:w="70"/>
              <w:left w:type="dxa" w:w="110"/>
              <w:bottom w:type="dxa" w:w="70"/>
              <w:right w:type="dxa" w:w="110"/>
            </w:tcMar>
            <w:vAlign w:val="center"/>
          </w:tcPr>
          <w:p>
            <w:r>
              <w:rPr>
                <w:sz w:val="18"/>
                <w:szCs w:val="18"/>
              </w:rPr>
              <w:t xml:space="preserve">Analyze multiple causal factors to take positions on events.</w:t>
            </w:r>
          </w:p>
        </w:tc>
        <w:tc>
          <w:tcPr>
            <w:tcW w:type="dxa" w:w="1860"/>
            <w:tcBorders>
              <w:top w:val="single" w:color="D6CFC3" w:sz="1"/>
              <w:left w:val="single" w:color="D6CFC3" w:sz="1"/>
              <w:bottom w:val="single" w:color="D6CFC3" w:sz="1"/>
              <w:right w:val="single" w:color="D6CFC3" w:sz="1"/>
            </w:tcBorders>
            <w:shd w:fill="E3ECDF" w:color="auto" w:val="clear"/>
            <w:tcMar>
              <w:top w:type="dxa" w:w="70"/>
              <w:left w:type="dxa" w:w="110"/>
              <w:bottom w:type="dxa" w:w="70"/>
              <w:right w:type="dxa" w:w="110"/>
            </w:tcMar>
            <w:vAlign w:val="center"/>
          </w:tcPr>
          <w:p>
            <w:pPr>
              <w:jc w:val="center"/>
            </w:pPr>
            <w:r>
              <w:rPr>
                <w:b/>
                <w:bCs/>
                <w:color w:val="4A6741"/>
                <w:sz w:val="22"/>
                <w:szCs w:val="22"/>
              </w:rPr>
              <w:t xml:space="preserve">●</w:t>
            </w:r>
          </w:p>
        </w:tc>
      </w:tr>
      <w:tr>
        <w:tc>
          <w:tcPr>
            <w:tcW w:type="dxa" w:w="1500"/>
            <w:tcBorders>
              <w:top w:val="single" w:color="D6CFC3" w:sz="1"/>
              <w:left w:val="single" w:color="D6CFC3" w:sz="1"/>
              <w:bottom w:val="single" w:color="D6CFC3" w:sz="1"/>
              <w:right w:val="single" w:color="D6CFC3" w:sz="1"/>
            </w:tcBorders>
            <w:shd w:fill="F5F0E8" w:color="auto" w:val="clear"/>
            <w:tcMar>
              <w:top w:type="dxa" w:w="70"/>
              <w:left w:type="dxa" w:w="110"/>
              <w:bottom w:type="dxa" w:w="70"/>
              <w:right w:type="dxa" w:w="110"/>
            </w:tcMar>
            <w:vAlign w:val="center"/>
          </w:tcPr>
          <w:p>
            <w:r>
              <w:rPr>
                <w:b/>
                <w:bCs/>
                <w:color w:val="1B2D45"/>
                <w:sz w:val="18"/>
                <w:szCs w:val="18"/>
              </w:rPr>
              <w:t xml:space="preserve">H4.6-8.3</w:t>
            </w:r>
          </w:p>
        </w:tc>
        <w:tc>
          <w:tcPr>
            <w:tcW w:type="dxa" w:w="6000"/>
            <w:tcBorders>
              <w:top w:val="single" w:color="D6CFC3" w:sz="1"/>
              <w:left w:val="single" w:color="D6CFC3" w:sz="1"/>
              <w:bottom w:val="single" w:color="D6CFC3" w:sz="1"/>
              <w:right w:val="single" w:color="D6CFC3" w:sz="1"/>
            </w:tcBorders>
            <w:shd w:fill="F5F0E8" w:color="auto" w:val="clear"/>
            <w:tcMar>
              <w:top w:type="dxa" w:w="70"/>
              <w:left w:type="dxa" w:w="110"/>
              <w:bottom w:type="dxa" w:w="70"/>
              <w:right w:type="dxa" w:w="110"/>
            </w:tcMar>
            <w:vAlign w:val="center"/>
          </w:tcPr>
          <w:p>
            <w:r>
              <w:rPr>
                <w:sz w:val="18"/>
                <w:szCs w:val="18"/>
              </w:rPr>
              <w:t xml:space="preserve">Connect a U.S. historical event to a contemporary issue.</w:t>
            </w:r>
          </w:p>
        </w:tc>
        <w:tc>
          <w:tcPr>
            <w:tcW w:type="dxa" w:w="1860"/>
            <w:tcBorders>
              <w:top w:val="single" w:color="D6CFC3" w:sz="1"/>
              <w:left w:val="single" w:color="D6CFC3" w:sz="1"/>
              <w:bottom w:val="single" w:color="D6CFC3" w:sz="1"/>
              <w:right w:val="single" w:color="D6CFC3" w:sz="1"/>
            </w:tcBorders>
            <w:shd w:fill="FBF1DD" w:color="auto" w:val="clear"/>
            <w:tcMar>
              <w:top w:type="dxa" w:w="70"/>
              <w:left w:type="dxa" w:w="110"/>
              <w:bottom w:type="dxa" w:w="70"/>
              <w:right w:type="dxa" w:w="110"/>
            </w:tcMar>
            <w:vAlign w:val="center"/>
          </w:tcPr>
          <w:p>
            <w:pPr>
              <w:jc w:val="center"/>
            </w:pPr>
            <w:r>
              <w:rPr>
                <w:b/>
                <w:bCs/>
                <w:color w:val="B8893B"/>
                <w:sz w:val="22"/>
                <w:szCs w:val="22"/>
              </w:rPr>
              <w:t xml:space="preserve">◐</w:t>
            </w:r>
          </w:p>
        </w:tc>
      </w:tr>
      <w:tr>
        <w:tc>
          <w:tcPr>
            <w:tcW w:type="dxa" w:w="1500"/>
            <w:tcBorders>
              <w:top w:val="single" w:color="D6CFC3" w:sz="1"/>
              <w:left w:val="single" w:color="D6CFC3" w:sz="1"/>
              <w:bottom w:val="single" w:color="D6CFC3" w:sz="1"/>
              <w:right w:val="single" w:color="D6CFC3" w:sz="1"/>
            </w:tcBorders>
            <w:shd w:fill="FFFFFF" w:color="auto" w:val="clear"/>
            <w:tcMar>
              <w:top w:type="dxa" w:w="70"/>
              <w:left w:type="dxa" w:w="110"/>
              <w:bottom w:type="dxa" w:w="70"/>
              <w:right w:type="dxa" w:w="110"/>
            </w:tcMar>
            <w:vAlign w:val="center"/>
          </w:tcPr>
          <w:p>
            <w:r>
              <w:rPr>
                <w:b/>
                <w:bCs/>
                <w:color w:val="1B2D45"/>
                <w:sz w:val="18"/>
                <w:szCs w:val="18"/>
              </w:rPr>
              <w:t xml:space="preserve">SSS1.6-8.1/.2</w:t>
            </w:r>
          </w:p>
        </w:tc>
        <w:tc>
          <w:tcPr>
            <w:tcW w:type="dxa" w:w="6000"/>
            <w:tcBorders>
              <w:top w:val="single" w:color="D6CFC3" w:sz="1"/>
              <w:left w:val="single" w:color="D6CFC3" w:sz="1"/>
              <w:bottom w:val="single" w:color="D6CFC3" w:sz="1"/>
              <w:right w:val="single" w:color="D6CFC3" w:sz="1"/>
            </w:tcBorders>
            <w:shd w:fill="FFFFFF" w:color="auto" w:val="clear"/>
            <w:tcMar>
              <w:top w:type="dxa" w:w="70"/>
              <w:left w:type="dxa" w:w="110"/>
              <w:bottom w:type="dxa" w:w="70"/>
              <w:right w:type="dxa" w:w="110"/>
            </w:tcMar>
            <w:vAlign w:val="center"/>
          </w:tcPr>
          <w:p>
            <w:r>
              <w:rPr>
                <w:sz w:val="18"/>
                <w:szCs w:val="18"/>
              </w:rPr>
              <w:t xml:space="preserve">Analyze positions/evidence; evaluate logic of reasons.</w:t>
            </w:r>
          </w:p>
        </w:tc>
        <w:tc>
          <w:tcPr>
            <w:tcW w:type="dxa" w:w="1860"/>
            <w:tcBorders>
              <w:top w:val="single" w:color="D6CFC3" w:sz="1"/>
              <w:left w:val="single" w:color="D6CFC3" w:sz="1"/>
              <w:bottom w:val="single" w:color="D6CFC3" w:sz="1"/>
              <w:right w:val="single" w:color="D6CFC3" w:sz="1"/>
            </w:tcBorders>
            <w:shd w:fill="E3ECDF" w:color="auto" w:val="clear"/>
            <w:tcMar>
              <w:top w:type="dxa" w:w="70"/>
              <w:left w:type="dxa" w:w="110"/>
              <w:bottom w:type="dxa" w:w="70"/>
              <w:right w:type="dxa" w:w="110"/>
            </w:tcMar>
            <w:vAlign w:val="center"/>
          </w:tcPr>
          <w:p>
            <w:pPr>
              <w:jc w:val="center"/>
            </w:pPr>
            <w:r>
              <w:rPr>
                <w:b/>
                <w:bCs/>
                <w:color w:val="4A6741"/>
                <w:sz w:val="22"/>
                <w:szCs w:val="22"/>
              </w:rPr>
              <w:t xml:space="preserve">●</w:t>
            </w:r>
          </w:p>
        </w:tc>
      </w:tr>
      <w:tr>
        <w:tc>
          <w:tcPr>
            <w:tcW w:type="dxa" w:w="1500"/>
            <w:tcBorders>
              <w:top w:val="single" w:color="D6CFC3" w:sz="1"/>
              <w:left w:val="single" w:color="D6CFC3" w:sz="1"/>
              <w:bottom w:val="single" w:color="D6CFC3" w:sz="1"/>
              <w:right w:val="single" w:color="D6CFC3" w:sz="1"/>
            </w:tcBorders>
            <w:shd w:fill="F5F0E8" w:color="auto" w:val="clear"/>
            <w:tcMar>
              <w:top w:type="dxa" w:w="70"/>
              <w:left w:type="dxa" w:w="110"/>
              <w:bottom w:type="dxa" w:w="70"/>
              <w:right w:type="dxa" w:w="110"/>
            </w:tcMar>
            <w:vAlign w:val="center"/>
          </w:tcPr>
          <w:p>
            <w:r>
              <w:rPr>
                <w:b/>
                <w:bCs/>
                <w:color w:val="1B2D45"/>
                <w:sz w:val="18"/>
                <w:szCs w:val="18"/>
              </w:rPr>
              <w:t xml:space="preserve">SSS2.6-8.1/.2</w:t>
            </w:r>
          </w:p>
        </w:tc>
        <w:tc>
          <w:tcPr>
            <w:tcW w:type="dxa" w:w="6000"/>
            <w:tcBorders>
              <w:top w:val="single" w:color="D6CFC3" w:sz="1"/>
              <w:left w:val="single" w:color="D6CFC3" w:sz="1"/>
              <w:bottom w:val="single" w:color="D6CFC3" w:sz="1"/>
              <w:right w:val="single" w:color="D6CFC3" w:sz="1"/>
            </w:tcBorders>
            <w:shd w:fill="F5F0E8" w:color="auto" w:val="clear"/>
            <w:tcMar>
              <w:top w:type="dxa" w:w="70"/>
              <w:left w:type="dxa" w:w="110"/>
              <w:bottom w:type="dxa" w:w="70"/>
              <w:right w:type="dxa" w:w="110"/>
            </w:tcMar>
            <w:vAlign w:val="center"/>
          </w:tcPr>
          <w:p>
            <w:r>
              <w:rPr>
                <w:sz w:val="18"/>
                <w:szCs w:val="18"/>
              </w:rPr>
              <w:t xml:space="preserve">Use research questions; evaluate source credibility.</w:t>
            </w:r>
          </w:p>
        </w:tc>
        <w:tc>
          <w:tcPr>
            <w:tcW w:type="dxa" w:w="1860"/>
            <w:tcBorders>
              <w:top w:val="single" w:color="D6CFC3" w:sz="1"/>
              <w:left w:val="single" w:color="D6CFC3" w:sz="1"/>
              <w:bottom w:val="single" w:color="D6CFC3" w:sz="1"/>
              <w:right w:val="single" w:color="D6CFC3" w:sz="1"/>
            </w:tcBorders>
            <w:shd w:fill="E3ECDF" w:color="auto" w:val="clear"/>
            <w:tcMar>
              <w:top w:type="dxa" w:w="70"/>
              <w:left w:type="dxa" w:w="110"/>
              <w:bottom w:type="dxa" w:w="70"/>
              <w:right w:type="dxa" w:w="110"/>
            </w:tcMar>
            <w:vAlign w:val="center"/>
          </w:tcPr>
          <w:p>
            <w:pPr>
              <w:jc w:val="center"/>
            </w:pPr>
            <w:r>
              <w:rPr>
                <w:b/>
                <w:bCs/>
                <w:color w:val="4A6741"/>
                <w:sz w:val="22"/>
                <w:szCs w:val="22"/>
              </w:rPr>
              <w:t xml:space="preserve">●</w:t>
            </w:r>
          </w:p>
        </w:tc>
      </w:tr>
      <w:tr>
        <w:tc>
          <w:tcPr>
            <w:tcW w:type="dxa" w:w="1500"/>
            <w:tcBorders>
              <w:top w:val="single" w:color="D6CFC3" w:sz="1"/>
              <w:left w:val="single" w:color="D6CFC3" w:sz="1"/>
              <w:bottom w:val="single" w:color="D6CFC3" w:sz="1"/>
              <w:right w:val="single" w:color="D6CFC3" w:sz="1"/>
            </w:tcBorders>
            <w:shd w:fill="FFFFFF" w:color="auto" w:val="clear"/>
            <w:tcMar>
              <w:top w:type="dxa" w:w="70"/>
              <w:left w:type="dxa" w:w="110"/>
              <w:bottom w:type="dxa" w:w="70"/>
              <w:right w:type="dxa" w:w="110"/>
            </w:tcMar>
            <w:vAlign w:val="center"/>
          </w:tcPr>
          <w:p>
            <w:r>
              <w:rPr>
                <w:b/>
                <w:bCs/>
                <w:color w:val="1B2D45"/>
                <w:sz w:val="18"/>
                <w:szCs w:val="18"/>
              </w:rPr>
              <w:t xml:space="preserve">SSS3.6-8.1</w:t>
            </w:r>
          </w:p>
        </w:tc>
        <w:tc>
          <w:tcPr>
            <w:tcW w:type="dxa" w:w="6000"/>
            <w:tcBorders>
              <w:top w:val="single" w:color="D6CFC3" w:sz="1"/>
              <w:left w:val="single" w:color="D6CFC3" w:sz="1"/>
              <w:bottom w:val="single" w:color="D6CFC3" w:sz="1"/>
              <w:right w:val="single" w:color="D6CFC3" w:sz="1"/>
            </w:tcBorders>
            <w:shd w:fill="FFFFFF" w:color="auto" w:val="clear"/>
            <w:tcMar>
              <w:top w:type="dxa" w:w="70"/>
              <w:left w:type="dxa" w:w="110"/>
              <w:bottom w:type="dxa" w:w="70"/>
              <w:right w:type="dxa" w:w="110"/>
            </w:tcMar>
            <w:vAlign w:val="center"/>
          </w:tcPr>
          <w:p>
            <w:r>
              <w:rPr>
                <w:sz w:val="18"/>
                <w:szCs w:val="18"/>
              </w:rPr>
              <w:t xml:space="preserve">Deliberate public issues from multiple viewpoints.</w:t>
            </w:r>
          </w:p>
        </w:tc>
        <w:tc>
          <w:tcPr>
            <w:tcW w:type="dxa" w:w="1860"/>
            <w:tcBorders>
              <w:top w:val="single" w:color="D6CFC3" w:sz="1"/>
              <w:left w:val="single" w:color="D6CFC3" w:sz="1"/>
              <w:bottom w:val="single" w:color="D6CFC3" w:sz="1"/>
              <w:right w:val="single" w:color="D6CFC3" w:sz="1"/>
            </w:tcBorders>
            <w:shd w:fill="E3ECDF" w:color="auto" w:val="clear"/>
            <w:tcMar>
              <w:top w:type="dxa" w:w="70"/>
              <w:left w:type="dxa" w:w="110"/>
              <w:bottom w:type="dxa" w:w="70"/>
              <w:right w:type="dxa" w:w="110"/>
            </w:tcMar>
            <w:vAlign w:val="center"/>
          </w:tcPr>
          <w:p>
            <w:pPr>
              <w:jc w:val="center"/>
            </w:pPr>
            <w:r>
              <w:rPr>
                <w:b/>
                <w:bCs/>
                <w:color w:val="4A6741"/>
                <w:sz w:val="22"/>
                <w:szCs w:val="22"/>
              </w:rPr>
              <w:t xml:space="preserve">●</w:t>
            </w:r>
          </w:p>
        </w:tc>
      </w:tr>
      <w:tr>
        <w:tc>
          <w:tcPr>
            <w:tcW w:type="dxa" w:w="1500"/>
            <w:tcBorders>
              <w:top w:val="single" w:color="D6CFC3" w:sz="1"/>
              <w:left w:val="single" w:color="D6CFC3" w:sz="1"/>
              <w:bottom w:val="single" w:color="D6CFC3" w:sz="1"/>
              <w:right w:val="single" w:color="D6CFC3" w:sz="1"/>
            </w:tcBorders>
            <w:shd w:fill="F5F0E8" w:color="auto" w:val="clear"/>
            <w:tcMar>
              <w:top w:type="dxa" w:w="70"/>
              <w:left w:type="dxa" w:w="110"/>
              <w:bottom w:type="dxa" w:w="70"/>
              <w:right w:type="dxa" w:w="110"/>
            </w:tcMar>
            <w:vAlign w:val="center"/>
          </w:tcPr>
          <w:p>
            <w:r>
              <w:rPr>
                <w:b/>
                <w:bCs/>
                <w:color w:val="1B2D45"/>
                <w:sz w:val="18"/>
                <w:szCs w:val="18"/>
              </w:rPr>
              <w:t xml:space="preserve">SSS4.6-8.1/.2</w:t>
            </w:r>
          </w:p>
        </w:tc>
        <w:tc>
          <w:tcPr>
            <w:tcW w:type="dxa" w:w="6000"/>
            <w:tcBorders>
              <w:top w:val="single" w:color="D6CFC3" w:sz="1"/>
              <w:left w:val="single" w:color="D6CFC3" w:sz="1"/>
              <w:bottom w:val="single" w:color="D6CFC3" w:sz="1"/>
              <w:right w:val="single" w:color="D6CFC3" w:sz="1"/>
            </w:tcBorders>
            <w:shd w:fill="F5F0E8" w:color="auto" w:val="clear"/>
            <w:tcMar>
              <w:top w:type="dxa" w:w="70"/>
              <w:left w:type="dxa" w:w="110"/>
              <w:bottom w:type="dxa" w:w="70"/>
              <w:right w:type="dxa" w:w="110"/>
            </w:tcMar>
            <w:vAlign w:val="center"/>
          </w:tcPr>
          <w:p>
            <w:r>
              <w:rPr>
                <w:sz w:val="18"/>
                <w:szCs w:val="18"/>
              </w:rPr>
              <w:t xml:space="preserve">Build a thesis-driven product; cite sources properly.</w:t>
            </w:r>
          </w:p>
        </w:tc>
        <w:tc>
          <w:tcPr>
            <w:tcW w:type="dxa" w:w="1860"/>
            <w:tcBorders>
              <w:top w:val="single" w:color="D6CFC3" w:sz="1"/>
              <w:left w:val="single" w:color="D6CFC3" w:sz="1"/>
              <w:bottom w:val="single" w:color="D6CFC3" w:sz="1"/>
              <w:right w:val="single" w:color="D6CFC3" w:sz="1"/>
            </w:tcBorders>
            <w:shd w:fill="E3ECDF" w:color="auto" w:val="clear"/>
            <w:tcMar>
              <w:top w:type="dxa" w:w="70"/>
              <w:left w:type="dxa" w:w="110"/>
              <w:bottom w:type="dxa" w:w="70"/>
              <w:right w:type="dxa" w:w="110"/>
            </w:tcMar>
            <w:vAlign w:val="center"/>
          </w:tcPr>
          <w:p>
            <w:pPr>
              <w:jc w:val="center"/>
            </w:pPr>
            <w:r>
              <w:rPr>
                <w:b/>
                <w:bCs/>
                <w:color w:val="4A6741"/>
                <w:sz w:val="22"/>
                <w:szCs w:val="22"/>
              </w:rPr>
              <w:t xml:space="preserve">●</w:t>
            </w:r>
          </w:p>
        </w:tc>
      </w:tr>
    </w:tbl>
    <w:p>
      <w:pPr>
        <w:spacing w:before="160"/>
      </w:pPr>
      <w:r>
        <w:rPr>
          <w:b/>
          <w:bCs/>
          <w:color w:val="5C564E"/>
          <w:sz w:val="18"/>
          <w:szCs w:val="18"/>
        </w:rPr>
        <w:t xml:space="preserve">Source: </w:t>
      </w:r>
      <w:r>
        <w:rPr>
          <w:i/>
          <w:iCs/>
          <w:color w:val="5C564E"/>
          <w:sz w:val="18"/>
          <w:szCs w:val="18"/>
        </w:rPr>
        <w:t xml:space="preserve">OSPI K–12 Social Studies Learning Standards (2019), Grades 6–8 — Civics, Economics, Geography, History, and Social Studies Skills strands; and the OSPI Recommended Scope &amp; Sequence (2020), which places Grade 8 as U.S. History &amp; Government (primarily the 19th century).</w:t>
      </w:r>
    </w:p>
    <w:sectPr>
      <w:footerReference w:type="default" r:id="rId7"/>
      <w:pgSz w:w="12240" w:h="15840" w:orient="portrait"/>
      <w:pgMar w:top="1296" w:right="1296" w:bottom="1296" w:left="1296"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C564E"/>
        <w:sz w:val="16"/>
        <w:szCs w:val="16"/>
      </w:rPr>
      <w:t xml:space="preserve">Standards Alignment &amp; Gap Analysis  ·  Mr. B’s 8th Grade U.S. History  ·  Page </w:t>
    </w:r>
    <w:r>
      <w:rPr>
        <w:color w:val="5C564E"/>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lvl>
  </w:abstractNum>
  <w:abstractNum w:abstractNumId="3" w15:restartNumberingAfterBreak="0">
    <w:multiLevelType w:val="hybridMultilevel"/>
    <w:lvl w:ilvl="0" w15:tentative="1">
      <w:start w:val="1"/>
      <w:numFmt w:val="decimal"/>
      <w:lvlText w:val="%1."/>
      <w:lvlJc w:val="left"/>
      <w:pPr>
        <w:ind w:left="54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D6CFC3" w:sz="4" w:space="4"/>
      </w:pBdr>
      <w:spacing w:after="140" w:before="300"/>
      <w:outlineLvl w:val="0"/>
    </w:pPr>
    <w:rPr>
      <w:rFonts w:ascii="Arial" w:cs="Arial" w:eastAsia="Arial" w:hAnsi="Arial"/>
      <w:b/>
      <w:bCs/>
      <w:color w:val="1B2D45"/>
      <w:sz w:val="30"/>
      <w:szCs w:val="30"/>
    </w:rPr>
  </w:style>
  <w:style w:type="paragraph" w:styleId="Heading2">
    <w:name w:val="Heading 2"/>
    <w:basedOn w:val="Normal"/>
    <w:next w:val="Normal"/>
    <w:qFormat/>
    <w:pPr>
      <w:spacing w:after="100" w:before="200"/>
      <w:outlineLvl w:val="1"/>
    </w:pPr>
    <w:rPr>
      <w:rFonts w:ascii="Arial" w:cs="Arial" w:eastAsia="Arial" w:hAnsi="Arial"/>
      <w:b/>
      <w:bCs/>
      <w:color w:val="C75B2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2026-06-16T15:18:27.412Z</dcterms:created>
  <dcterms:modified xsi:type="dcterms:W3CDTF">2026-06-16T15:18:27.412Z</dcterms:modified>
</cp:coreProperties>
</file>

<file path=docProps/custom.xml><?xml version="1.0" encoding="utf-8"?>
<Properties xmlns="http://schemas.openxmlformats.org/officeDocument/2006/custom-properties" xmlns:vt="http://schemas.openxmlformats.org/officeDocument/2006/docPropsVTypes"/>
</file>