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bin" ContentType="application/vnd.openxmlformats-officedocument.wordprocessingml.printerSettings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ame"/>
        <w:rPr>
          <w:sz w:val="32"/>
          <w:szCs w:val="32"/>
          <w:rtl w:val="0"/>
        </w:rPr>
      </w:pPr>
      <w:r>
        <w:rPr>
          <w:rFonts w:ascii="Didot" w:cs="Arial Unicode MS" w:hAnsi="Arial Unicode MS" w:eastAsia="Arial Unicode MS"/>
          <w:sz w:val="32"/>
          <w:szCs w:val="32"/>
          <w:rtl w:val="0"/>
          <w:lang w:val="en-US"/>
        </w:rPr>
        <w:t>Kyle Hanretty</w:t>
      </w:r>
    </w:p>
    <w:p>
      <w:pPr>
        <w:pStyle w:val="Contact Information"/>
        <w:rPr>
          <w:sz w:val="22"/>
          <w:szCs w:val="22"/>
          <w:rtl w:val="0"/>
        </w:rPr>
      </w:pP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3729 Dutchman</w:t>
      </w: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 xml:space="preserve"> Drive</w:t>
      </w:r>
    </w:p>
    <w:p>
      <w:pPr>
        <w:pStyle w:val="Contact Information"/>
        <w:rPr>
          <w:sz w:val="22"/>
          <w:szCs w:val="22"/>
          <w:rtl w:val="0"/>
        </w:rPr>
      </w:pP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Baldwinsville</w:t>
      </w: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, NY 1</w:t>
      </w: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3027</w:t>
      </w:r>
    </w:p>
    <w:p>
      <w:pPr>
        <w:pStyle w:val="Contact Information"/>
        <w:rPr>
          <w:sz w:val="22"/>
          <w:szCs w:val="22"/>
          <w:rtl w:val="0"/>
        </w:rPr>
      </w:pP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315-247-1274</w:t>
      </w:r>
    </w:p>
    <w:p>
      <w:pPr>
        <w:pStyle w:val="Contact Information"/>
      </w:pPr>
      <w:r>
        <w:rPr>
          <w:rFonts w:ascii="Baskerville" w:cs="Arial Unicode MS" w:hAnsi="Arial Unicode MS" w:eastAsia="Arial Unicode MS"/>
          <w:sz w:val="22"/>
          <w:szCs w:val="22"/>
          <w:rtl w:val="0"/>
          <w:lang w:val="en-US"/>
        </w:rPr>
        <w:t>Kyle.Hanretty@gmail.com</w:t>
      </w:r>
    </w:p>
    <w:p>
      <w:pPr>
        <w:pStyle w:val="Contact Information"/>
        <w:rPr>
          <w:sz w:val="22"/>
          <w:szCs w:val="22"/>
          <w:rtl w:val="0"/>
        </w:rPr>
      </w:pPr>
    </w:p>
    <w:p>
      <w:pPr>
        <w:pStyle w:val="Heading"/>
      </w:pPr>
      <w:r>
        <w:rPr>
          <w:rFonts w:ascii="Didot" w:cs="Arial Unicode MS" w:hAnsi="Arial Unicode MS" w:eastAsia="Arial Unicode MS"/>
          <w:rtl w:val="0"/>
        </w:rPr>
        <w:t>PROFILE</w:t>
      </w:r>
    </w:p>
    <w:p>
      <w:pPr>
        <w:pStyle w:val="Body 2"/>
        <w:spacing w:line="240" w:lineRule="auto"/>
        <w:rPr>
          <w:rFonts w:ascii="Baskerville" w:cs="Baskerville" w:hAnsi="Baskerville" w:eastAsia="Baskerville"/>
          <w:color w:val="000000"/>
          <w:sz w:val="24"/>
          <w:szCs w:val="24"/>
          <w:rtl w:val="0"/>
          <w:lang w:val="en-US"/>
        </w:rPr>
      </w:pPr>
      <w:r>
        <w:rPr>
          <w:rFonts w:ascii="Didot"/>
          <w:color w:val="000000"/>
          <w:sz w:val="22"/>
          <w:szCs w:val="22"/>
          <w:rtl w:val="0"/>
          <w:lang w:val="en-US"/>
        </w:rPr>
        <w:t xml:space="preserve">I am a highly motivated, intelligent, and adaptive individual who understands the importance of hardwork and professionalism. </w:t>
      </w:r>
    </w:p>
    <w:p>
      <w:pPr>
        <w:pStyle w:val="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sz w:val="22"/>
          <w:szCs w:val="22"/>
          <w:rtl w:val="0"/>
        </w:rPr>
        <w:t>EXPERIENCE</w:t>
      </w:r>
    </w:p>
    <w:p>
      <w:pPr>
        <w:pStyle w:val="Sub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AQM Tech, O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>’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Brien &amp; Gere; Syracuse, NY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 xml:space="preserve"> — 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August 2014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>—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December 2014</w:t>
      </w:r>
    </w:p>
    <w:p>
      <w:pPr>
        <w:pStyle w:val="Body A"/>
        <w:rPr>
          <w:sz w:val="24"/>
          <w:szCs w:val="24"/>
          <w:rtl w:val="0"/>
          <w:lang w:val="en-US"/>
        </w:rPr>
      </w:pPr>
      <w:r>
        <w:rPr>
          <w:rFonts w:ascii="Baskerville" w:cs="Arial Unicode MS" w:hAnsi="Arial Unicode MS" w:eastAsia="Arial Unicode MS"/>
          <w:i w:val="1"/>
          <w:iCs w:val="1"/>
          <w:sz w:val="24"/>
          <w:szCs w:val="24"/>
          <w:rtl w:val="0"/>
          <w:lang w:val="en-US"/>
        </w:rPr>
        <w:t>Responsibilities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:</w:t>
      </w:r>
    </w:p>
    <w:p>
      <w:pPr>
        <w:pStyle w:val="Body A"/>
        <w:numPr>
          <w:ilvl w:val="0"/>
          <w:numId w:val="2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</w:rPr>
        <w:t>Documentation</w:t>
      </w:r>
      <w:r>
        <w:rPr>
          <w:sz w:val="24"/>
          <w:szCs w:val="24"/>
          <w:rtl w:val="0"/>
          <w:lang w:val="en-US"/>
        </w:rPr>
        <w:t xml:space="preserve"> and data review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 xml:space="preserve">Graphical analysis of data collected via MiniRAE photoionization detector (VOCs) and ADR 1500 Area Dust Monitor </w:t>
      </w:r>
    </w:p>
    <w:p>
      <w:pPr>
        <w:pStyle w:val="Body A"/>
        <w:numPr>
          <w:ilvl w:val="0"/>
          <w:numId w:val="6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Provide communication of business critical information to operations and technical resource lead.</w:t>
      </w:r>
    </w:p>
    <w:p>
      <w:pPr>
        <w:pStyle w:val="Sub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QC Associate, Bristol Myers-Squibb; Syracuse, NY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 xml:space="preserve"> — 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December 2013</w:t>
      </w:r>
    </w:p>
    <w:p>
      <w:pPr>
        <w:pStyle w:val="Body A"/>
        <w:rPr>
          <w:sz w:val="24"/>
          <w:szCs w:val="24"/>
          <w:rtl w:val="0"/>
          <w:lang w:val="en-US"/>
        </w:rPr>
      </w:pPr>
      <w:r>
        <w:rPr>
          <w:rFonts w:ascii="Baskerville" w:cs="Arial Unicode MS" w:hAnsi="Arial Unicode MS" w:eastAsia="Arial Unicode MS"/>
          <w:i w:val="1"/>
          <w:iCs w:val="1"/>
          <w:sz w:val="24"/>
          <w:szCs w:val="24"/>
          <w:rtl w:val="0"/>
          <w:lang w:val="en-US"/>
        </w:rPr>
        <w:t>Responsibilities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:</w:t>
      </w:r>
    </w:p>
    <w:p>
      <w:pPr>
        <w:pStyle w:val="Body A"/>
        <w:numPr>
          <w:ilvl w:val="0"/>
          <w:numId w:val="8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Documentation and Data review, ensuring cGMP compliance is maintained.</w:t>
      </w:r>
    </w:p>
    <w:p>
      <w:pPr>
        <w:pStyle w:val="Body A"/>
        <w:numPr>
          <w:ilvl w:val="0"/>
          <w:numId w:val="10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Writing standard operating procedures and technical documents as required.</w:t>
      </w:r>
    </w:p>
    <w:p>
      <w:pPr>
        <w:pStyle w:val="Body A"/>
        <w:numPr>
          <w:ilvl w:val="0"/>
          <w:numId w:val="12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Perform Quality Control testing for in-process and raw material in a cGL</w:t>
      </w:r>
      <w:r>
        <w:rPr>
          <w:sz w:val="24"/>
          <w:szCs w:val="24"/>
          <w:rtl w:val="0"/>
        </w:rPr>
        <w:t>P</w:t>
      </w:r>
      <w:r>
        <w:rPr>
          <w:sz w:val="24"/>
          <w:szCs w:val="24"/>
          <w:rtl w:val="0"/>
          <w:lang w:val="en-US"/>
        </w:rPr>
        <w:t>/cGMP environment.</w:t>
      </w:r>
    </w:p>
    <w:p>
      <w:pPr>
        <w:pStyle w:val="Body A"/>
        <w:numPr>
          <w:ilvl w:val="0"/>
          <w:numId w:val="14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 xml:space="preserve">Utilize various analytical instruments </w:t>
      </w:r>
      <w:r>
        <w:rPr>
          <w:rFonts w:hAnsi="Baskerville" w:hint="default"/>
          <w:sz w:val="24"/>
          <w:szCs w:val="24"/>
          <w:rtl w:val="0"/>
        </w:rPr>
        <w:t xml:space="preserve">— </w:t>
      </w:r>
      <w:r>
        <w:rPr>
          <w:sz w:val="24"/>
          <w:szCs w:val="24"/>
          <w:rtl w:val="0"/>
          <w:lang w:val="en-US"/>
        </w:rPr>
        <w:t>Waters HPLC (Empower software), AKTA Explorer, UV-Vis spectrophotometer, and total organic carbon analyzer.</w:t>
      </w:r>
    </w:p>
    <w:p>
      <w:pPr>
        <w:pStyle w:val="Body A"/>
        <w:numPr>
          <w:ilvl w:val="0"/>
          <w:numId w:val="16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Execution of technical transfer and co-validation activities.</w:t>
      </w:r>
    </w:p>
    <w:p>
      <w:pPr>
        <w:pStyle w:val="Body A"/>
        <w:numPr>
          <w:ilvl w:val="0"/>
          <w:numId w:val="18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fr-FR"/>
        </w:rPr>
        <w:t>Instrumentation verification/preventative maintenance.</w:t>
      </w:r>
    </w:p>
    <w:p>
      <w:pPr>
        <w:pStyle w:val="Body A"/>
        <w:numPr>
          <w:ilvl w:val="0"/>
          <w:numId w:val="20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Provide communication of business critical information to Quality Control management.</w:t>
      </w:r>
    </w:p>
    <w:p>
      <w:pPr>
        <w:pStyle w:val="Subheading"/>
        <w:rPr>
          <w:rFonts w:ascii="Baskerville" w:cs="Baskerville" w:hAnsi="Baskerville" w:eastAsia="Baskerville"/>
          <w:b w:val="0"/>
          <w:b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</w:p>
    <w:p>
      <w:pPr>
        <w:pStyle w:val="Sub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QC Tech II, Ultra Diary LLC; Syracuse NY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 xml:space="preserve"> — 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January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 xml:space="preserve"> 201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2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>—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July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 xml:space="preserve"> 2013</w:t>
      </w:r>
    </w:p>
    <w:p>
      <w:pPr>
        <w:pStyle w:val="Body A"/>
        <w:rPr>
          <w:sz w:val="24"/>
          <w:szCs w:val="24"/>
          <w:rtl w:val="0"/>
          <w:lang w:val="en-US"/>
        </w:rPr>
      </w:pPr>
      <w:r>
        <w:rPr>
          <w:rFonts w:ascii="Baskerville" w:cs="Arial Unicode MS" w:hAnsi="Arial Unicode MS" w:eastAsia="Arial Unicode MS"/>
          <w:i w:val="1"/>
          <w:iCs w:val="1"/>
          <w:sz w:val="24"/>
          <w:szCs w:val="24"/>
          <w:rtl w:val="0"/>
          <w:lang w:val="en-US"/>
        </w:rPr>
        <w:t>Responsibilities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:</w:t>
      </w:r>
    </w:p>
    <w:p>
      <w:pPr>
        <w:pStyle w:val="Body A"/>
        <w:numPr>
          <w:ilvl w:val="0"/>
          <w:numId w:val="22"/>
        </w:numPr>
        <w:ind w:left="192"/>
        <w:rPr>
          <w:position w:val="0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Hourly inspection of filler machines, production line, and packaging robots.</w:t>
      </w:r>
    </w:p>
    <w:p>
      <w:pPr>
        <w:pStyle w:val="Body A"/>
        <w:numPr>
          <w:ilvl w:val="0"/>
          <w:numId w:val="22"/>
        </w:numPr>
        <w:ind w:left="192"/>
        <w:rPr>
          <w:position w:val="0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Monitor heat gauges.</w:t>
      </w:r>
    </w:p>
    <w:p>
      <w:pPr>
        <w:pStyle w:val="Body A"/>
        <w:numPr>
          <w:ilvl w:val="0"/>
          <w:numId w:val="24"/>
        </w:numPr>
        <w:ind w:left="192"/>
        <w:rPr>
          <w:position w:val="0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fr-FR"/>
        </w:rPr>
        <w:t>Instrumentation verification/preventative maintenance.</w:t>
      </w:r>
    </w:p>
    <w:p>
      <w:pPr>
        <w:pStyle w:val="Body A"/>
        <w:numPr>
          <w:ilvl w:val="0"/>
          <w:numId w:val="25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Documentation and Data review, ensuring cGMP compliance is maintained.</w:t>
      </w:r>
    </w:p>
    <w:p>
      <w:pPr>
        <w:pStyle w:val="Body A"/>
        <w:numPr>
          <w:ilvl w:val="0"/>
          <w:numId w:val="27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Writing standard operating procedures and technical documents as required.</w:t>
      </w:r>
    </w:p>
    <w:p>
      <w:pPr>
        <w:pStyle w:val="Body A"/>
        <w:numPr>
          <w:ilvl w:val="0"/>
          <w:numId w:val="29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Perform Quality Control testing for in-process and raw material in a cGLP/cGMP environment.</w:t>
      </w:r>
    </w:p>
    <w:p>
      <w:pPr>
        <w:pStyle w:val="Body A"/>
        <w:numPr>
          <w:ilvl w:val="0"/>
          <w:numId w:val="31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 xml:space="preserve">Utilize various analytical instruments (Celsis Amplified ATP method, </w:t>
      </w:r>
      <w:r>
        <w:rPr>
          <w:sz w:val="24"/>
          <w:szCs w:val="24"/>
          <w:rtl w:val="0"/>
        </w:rPr>
        <w:t>UV-Vis spectrophotometer</w:t>
      </w:r>
      <w:r>
        <w:rPr>
          <w:sz w:val="24"/>
          <w:szCs w:val="24"/>
          <w:rtl w:val="0"/>
          <w:lang w:val="en-US"/>
        </w:rPr>
        <w:t xml:space="preserve">) and wet bench techniques. </w:t>
      </w:r>
    </w:p>
    <w:p>
      <w:pPr>
        <w:pStyle w:val="Body A"/>
        <w:numPr>
          <w:ilvl w:val="0"/>
          <w:numId w:val="33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Execution of technical transfer and co-validation activities.</w:t>
      </w:r>
    </w:p>
    <w:p>
      <w:pPr>
        <w:pStyle w:val="Body A"/>
        <w:numPr>
          <w:ilvl w:val="0"/>
          <w:numId w:val="35"/>
        </w:numPr>
        <w:ind w:left="192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</w:rPr>
      </w:pPr>
      <w:r>
        <w:rPr>
          <w:sz w:val="24"/>
          <w:szCs w:val="24"/>
          <w:rtl w:val="0"/>
          <w:lang w:val="en-US"/>
        </w:rPr>
        <w:t>Provide communication of business critical information to operations and Quality Control management.</w:t>
      </w:r>
    </w:p>
    <w:p>
      <w:pPr>
        <w:pStyle w:val="Sub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rtl w:val="0"/>
        </w:rPr>
        <w:t xml:space="preserve">Secondary School </w:t>
      </w:r>
      <w:r>
        <w:rPr>
          <w:rFonts w:ascii="Didot" w:cs="Arial Unicode MS" w:hAnsi="Arial Unicode MS" w:eastAsia="Arial Unicode MS"/>
          <w:rtl w:val="0"/>
        </w:rPr>
        <w:t>Teacher, Malaw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i Children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>’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s Village; Mangochi, Malawi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 xml:space="preserve"> — 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September 2008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 xml:space="preserve"> </w:t>
      </w:r>
      <w:r>
        <w:rPr>
          <w:rFonts w:ascii="Arial Unicode MS" w:cs="Arial Unicode MS" w:hAnsi="Didot" w:eastAsia="Arial Unicode MS" w:hint="default"/>
          <w:sz w:val="22"/>
          <w:szCs w:val="22"/>
          <w:rtl w:val="0"/>
          <w:lang w:val="en-US"/>
        </w:rPr>
        <w:t>—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 xml:space="preserve"> </w:t>
      </w:r>
      <w:r>
        <w:rPr>
          <w:rFonts w:ascii="Didot" w:cs="Arial Unicode MS" w:hAnsi="Arial Unicode MS" w:eastAsia="Arial Unicode MS"/>
          <w:sz w:val="22"/>
          <w:szCs w:val="22"/>
          <w:rtl w:val="0"/>
          <w:lang w:val="en-US"/>
        </w:rPr>
        <w:t>April 2009</w:t>
      </w:r>
    </w:p>
    <w:p>
      <w:pPr>
        <w:pStyle w:val="Body A"/>
        <w:rPr>
          <w:sz w:val="24"/>
          <w:szCs w:val="24"/>
          <w:rtl w:val="0"/>
          <w:lang w:val="en-US"/>
        </w:rPr>
      </w:pPr>
      <w:r>
        <w:rPr>
          <w:rFonts w:ascii="Baskerville" w:cs="Arial Unicode MS" w:hAnsi="Arial Unicode MS" w:eastAsia="Arial Unicode MS"/>
          <w:i w:val="1"/>
          <w:iCs w:val="1"/>
          <w:sz w:val="24"/>
          <w:szCs w:val="24"/>
          <w:rtl w:val="0"/>
          <w:lang w:val="en-US"/>
        </w:rPr>
        <w:t>Responsibilities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:</w:t>
      </w:r>
    </w:p>
    <w:p>
      <w:pPr>
        <w:pStyle w:val="Body A"/>
        <w:numPr>
          <w:ilvl w:val="0"/>
          <w:numId w:val="36"/>
        </w:numPr>
        <w:ind w:left="192"/>
        <w:rPr>
          <w:position w:val="0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Taught chemistry (inorganic) and math (algebra) to US equivalent 11th and 9th grade students, respectively.</w:t>
      </w:r>
    </w:p>
    <w:p>
      <w:pPr>
        <w:pStyle w:val="Heading"/>
        <w:rPr>
          <w:sz w:val="22"/>
          <w:szCs w:val="22"/>
          <w:rtl w:val="0"/>
        </w:rPr>
      </w:pPr>
      <w:r>
        <w:rPr>
          <w:rFonts w:ascii="Didot" w:cs="Arial Unicode MS" w:hAnsi="Arial Unicode MS" w:eastAsia="Arial Unicode MS"/>
          <w:sz w:val="22"/>
          <w:szCs w:val="22"/>
          <w:rtl w:val="0"/>
        </w:rPr>
        <w:t>EDUCATION</w:t>
      </w:r>
    </w:p>
    <w:p>
      <w:pPr>
        <w:pStyle w:val="Body A"/>
        <w:rPr>
          <w:rFonts w:ascii="Didot" w:cs="Didot" w:hAnsi="Didot" w:eastAsia="Didot"/>
          <w:b w:val="1"/>
          <w:bCs w:val="1"/>
          <w:sz w:val="22"/>
          <w:szCs w:val="22"/>
          <w:rtl w:val="0"/>
        </w:rPr>
      </w:pP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 xml:space="preserve">Brown University; Providence, RI </w:t>
      </w:r>
      <w:r>
        <w:rPr>
          <w:rFonts w:ascii="Arial Unicode MS" w:cs="Arial Unicode MS" w:hAnsi="Baskerville" w:eastAsia="Arial Unicode MS" w:hint="default"/>
          <w:sz w:val="24"/>
          <w:szCs w:val="24"/>
          <w:rtl w:val="0"/>
          <w:lang w:val="en-US"/>
        </w:rPr>
        <w:t xml:space="preserve">— 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Master</w:t>
      </w:r>
      <w:r>
        <w:rPr>
          <w:rFonts w:ascii="Arial Unicode MS" w:cs="Arial Unicode MS" w:hAnsi="Baskerville" w:eastAsia="Arial Unicode MS" w:hint="default"/>
          <w:sz w:val="24"/>
          <w:szCs w:val="24"/>
          <w:rtl w:val="0"/>
          <w:lang w:val="en-US"/>
        </w:rPr>
        <w:t>’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s Program in Public Health; 2009</w:t>
      </w:r>
      <w:r>
        <w:rPr>
          <w:rFonts w:ascii="Arial Unicode MS" w:cs="Arial Unicode MS" w:hAnsi="Baskerville" w:eastAsia="Arial Unicode MS" w:hint="default"/>
          <w:sz w:val="24"/>
          <w:szCs w:val="24"/>
          <w:rtl w:val="0"/>
          <w:lang w:val="en-US"/>
        </w:rPr>
        <w:t>—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2011</w:t>
      </w:r>
    </w:p>
    <w:p>
      <w:pPr>
        <w:pStyle w:val="Body A"/>
        <w:rPr>
          <w:sz w:val="24"/>
          <w:szCs w:val="24"/>
          <w:rtl w:val="0"/>
          <w:lang w:val="en-US"/>
        </w:rPr>
      </w:pP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University of Rochester; Rochester, NY</w:t>
      </w:r>
      <w:r>
        <w:rPr>
          <w:rFonts w:ascii="Arial Unicode MS" w:cs="Arial Unicode MS" w:hAnsi="Baskerville" w:eastAsia="Arial Unicode MS" w:hint="default"/>
          <w:sz w:val="24"/>
          <w:szCs w:val="24"/>
          <w:rtl w:val="0"/>
        </w:rPr>
        <w:t xml:space="preserve"> — </w:t>
      </w:r>
      <w:r>
        <w:rPr>
          <w:rFonts w:ascii="Baskerville" w:cs="Arial Unicode MS" w:hAnsi="Arial Unicode MS" w:eastAsia="Arial Unicode MS"/>
          <w:sz w:val="24"/>
          <w:szCs w:val="24"/>
          <w:rtl w:val="0"/>
          <w:lang w:val="en-US"/>
        </w:rPr>
        <w:t>BS Biochemistry (2008)</w:t>
      </w:r>
    </w:p>
    <w:p>
      <w:pPr>
        <w:pStyle w:val="Heading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ADDITIONAL </w:t>
      </w:r>
      <w:r>
        <w:rPr>
          <w:sz w:val="24"/>
          <w:szCs w:val="24"/>
          <w:rtl w:val="0"/>
        </w:rPr>
        <w:t>SKILLS</w:t>
      </w:r>
    </w:p>
    <w:p>
      <w:pPr>
        <w:pStyle w:val="Body 2"/>
        <w:spacing w:line="240" w:lineRule="auto"/>
        <w:rPr>
          <w:rFonts w:ascii="Didot" w:cs="Didot" w:hAnsi="Didot" w:eastAsia="Didot"/>
          <w:color w:val="000000"/>
          <w:sz w:val="24"/>
          <w:szCs w:val="24"/>
        </w:rPr>
      </w:pPr>
      <w:r>
        <w:rPr>
          <w:rFonts w:ascii="Didot"/>
          <w:color w:val="000000"/>
          <w:sz w:val="24"/>
          <w:szCs w:val="24"/>
          <w:rtl w:val="0"/>
          <w:lang w:val="en-US"/>
        </w:rPr>
        <w:t>24 Hour Hazwoper</w:t>
      </w:r>
    </w:p>
    <w:p>
      <w:pPr>
        <w:pStyle w:val="Body 2"/>
        <w:spacing w:line="240" w:lineRule="auto"/>
        <w:rPr>
          <w:rFonts w:ascii="Didot" w:cs="Didot" w:hAnsi="Didot" w:eastAsia="Didot"/>
          <w:color w:val="000000"/>
          <w:sz w:val="24"/>
          <w:szCs w:val="24"/>
          <w:u w:color="000000"/>
        </w:rPr>
      </w:pPr>
      <w:r>
        <w:rPr>
          <w:rFonts w:ascii="Didot"/>
          <w:color w:val="000000"/>
          <w:sz w:val="24"/>
          <w:szCs w:val="24"/>
          <w:u w:color="000000"/>
          <w:rtl w:val="0"/>
          <w:lang w:val="en-US"/>
        </w:rPr>
        <w:t>Proficient with statistical analysis tools and methods.</w:t>
      </w:r>
    </w:p>
    <w:p>
      <w:pPr>
        <w:pStyle w:val="Body 2"/>
        <w:spacing w:line="240" w:lineRule="auto"/>
      </w:pPr>
      <w:r>
        <w:rPr>
          <w:rFonts w:ascii="Didot"/>
          <w:color w:val="000000"/>
          <w:sz w:val="24"/>
          <w:szCs w:val="24"/>
          <w:u w:color="000000"/>
          <w:rtl w:val="0"/>
          <w:lang w:val="en-US"/>
        </w:rPr>
        <w:t>Experienced with entire Microsoft suite and various web browsers and apps.</w:t>
      </w:r>
    </w:p>
    <w:sectPr>
      <w:headerReference w:type="default" r:id="rId4"/>
      <w:footerReference w:type="default" r:id="rId5"/>
      <w:pgSz w:w="12240" w:h="15840" w:orient="portrait"/>
      <w:pgMar w:top="1440" w:right="1800" w:bottom="108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Didot">
    <w:charset w:val="00"/>
    <w:family w:val="roman"/>
    <w:pitch w:val="default"/>
  </w:font>
  <w:font w:name="Hoefler Text">
    <w:charset w:val="00"/>
    <w:family w:val="roman"/>
    <w:pitch w:val="default"/>
  </w:font>
  <w:font w:name="Baskerville">
    <w:charset w:val="00"/>
    <w:family w:val="roman"/>
    <w:pitch w:val="default"/>
  </w:font>
</w:fonts>
</file>

<file path=word/footer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</w:abstractNum>
  <w:abstractNum w:abstractNumId="1">
    <w:multiLevelType w:val="multilevel"/>
    <w:styleLink w:val="Imported Style 1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">
    <w:multiLevelType w:val="multilevel"/>
    <w:styleLink w:val="Imported Style 2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5">
    <w:multiLevelType w:val="multilevel"/>
    <w:styleLink w:val="Imported Style 3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7">
    <w:multiLevelType w:val="multilevel"/>
    <w:styleLink w:val="Imported Style 4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9">
    <w:multiLevelType w:val="multilevel"/>
    <w:styleLink w:val="Imported Style 5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1">
    <w:multiLevelType w:val="multilevel"/>
    <w:styleLink w:val="Imported Style 6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3">
    <w:multiLevelType w:val="multilevel"/>
    <w:styleLink w:val="Imported Style 7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5">
    <w:multiLevelType w:val="multilevel"/>
    <w:styleLink w:val="Imported Style 8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6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</w:abstractNum>
  <w:abstractNum w:abstractNumId="17">
    <w:multiLevelType w:val="multilevel"/>
    <w:styleLink w:val="Imported Style 9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</w:abstractNum>
  <w:abstractNum w:abstractNumId="18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19">
    <w:multiLevelType w:val="multilevel"/>
    <w:styleLink w:val="Imported Style 10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1">
    <w:multiLevelType w:val="multilevel"/>
    <w:styleLink w:val="Imported Style 11"/>
    <w:lvl w:ilvl="0">
      <w:start w:val="0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2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</w:abstractNum>
  <w:abstractNum w:abstractNumId="23">
    <w:multiLevelType w:val="multilevel"/>
    <w:styleLink w:val="Imported Style 16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fr-FR"/>
      </w:rPr>
    </w:lvl>
  </w:abstractNum>
  <w:abstractNum w:abstractNumId="24">
    <w:multiLevelType w:val="multilevel"/>
    <w:styleLink w:val="Imported Style 11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6">
    <w:multiLevelType w:val="multilevel"/>
    <w:styleLink w:val="Imported Style 12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7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8">
    <w:multiLevelType w:val="multilevel"/>
    <w:styleLink w:val="Imported Style 13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29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0">
    <w:multiLevelType w:val="multilevel"/>
    <w:styleLink w:val="Imported Style 14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2">
    <w:multiLevelType w:val="multilevel"/>
    <w:styleLink w:val="Imported Style 15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3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4">
    <w:multiLevelType w:val="multilevel"/>
    <w:styleLink w:val="Imported Style 17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abstractNum w:abstractNumId="35">
    <w:multiLevelType w:val="multilevel"/>
    <w:styleLink w:val="Imported Style 4"/>
    <w:lvl w:ilvl="0">
      <w:start w:val="1"/>
      <w:numFmt w:val="bullet"/>
      <w:suff w:val="tab"/>
      <w:lvlText w:val="•"/>
      <w:lvlJc w:val="left"/>
      <w:pPr>
        <w:tabs>
          <w:tab w:val="num" w:pos="192"/>
          <w:tab w:val="clear" w:pos="0"/>
        </w:tabs>
        <w:ind w:left="1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1">
      <w:start w:val="1"/>
      <w:numFmt w:val="bullet"/>
      <w:suff w:val="tab"/>
      <w:lvlText w:val="•"/>
      <w:lvlJc w:val="left"/>
      <w:pPr>
        <w:tabs>
          <w:tab w:val="num" w:pos="352"/>
          <w:tab w:val="clear" w:pos="0"/>
        </w:tabs>
        <w:ind w:left="3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2">
      <w:start w:val="1"/>
      <w:numFmt w:val="bullet"/>
      <w:suff w:val="tab"/>
      <w:lvlText w:val="•"/>
      <w:lvlJc w:val="left"/>
      <w:pPr>
        <w:tabs>
          <w:tab w:val="num" w:pos="512"/>
          <w:tab w:val="clear" w:pos="0"/>
        </w:tabs>
        <w:ind w:left="5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672"/>
          <w:tab w:val="clear" w:pos="0"/>
        </w:tabs>
        <w:ind w:left="6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4">
      <w:start w:val="1"/>
      <w:numFmt w:val="bullet"/>
      <w:suff w:val="tab"/>
      <w:lvlText w:val="•"/>
      <w:lvlJc w:val="left"/>
      <w:pPr>
        <w:tabs>
          <w:tab w:val="num" w:pos="832"/>
          <w:tab w:val="clear" w:pos="0"/>
        </w:tabs>
        <w:ind w:left="83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5">
      <w:start w:val="1"/>
      <w:numFmt w:val="bullet"/>
      <w:suff w:val="tab"/>
      <w:lvlText w:val="•"/>
      <w:lvlJc w:val="left"/>
      <w:pPr>
        <w:tabs>
          <w:tab w:val="num" w:pos="992"/>
          <w:tab w:val="clear" w:pos="0"/>
        </w:tabs>
        <w:ind w:left="99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1152"/>
          <w:tab w:val="clear" w:pos="0"/>
        </w:tabs>
        <w:ind w:left="115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7">
      <w:start w:val="1"/>
      <w:numFmt w:val="bullet"/>
      <w:suff w:val="tab"/>
      <w:lvlText w:val="•"/>
      <w:lvlJc w:val="left"/>
      <w:pPr>
        <w:tabs>
          <w:tab w:val="num" w:pos="1312"/>
          <w:tab w:val="clear" w:pos="0"/>
        </w:tabs>
        <w:ind w:left="131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  <w:lvl w:ilvl="8">
      <w:start w:val="1"/>
      <w:numFmt w:val="bullet"/>
      <w:suff w:val="tab"/>
      <w:lvlText w:val="•"/>
      <w:lvlJc w:val="left"/>
      <w:pPr>
        <w:tabs>
          <w:tab w:val="num" w:pos="1472"/>
          <w:tab w:val="clear" w:pos="0"/>
        </w:tabs>
        <w:ind w:left="1472" w:hanging="192"/>
      </w:pPr>
      <w:rPr>
        <w:rFonts w:ascii="Baskerville" w:cs="Baskerville" w:hAnsi="Baskerville" w:eastAsia="Baskerville"/>
        <w:color w:val="594a3a"/>
        <w:position w:val="0"/>
        <w:sz w:val="24"/>
        <w:szCs w:val="24"/>
        <w:rtl w:val="0"/>
        <w:lang w:val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ame">
    <w:name w:val="Name"/>
    <w:next w:val="Body 2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tabs>
        <w:tab w:val="left" w:pos="6400"/>
      </w:tabs>
      <w:suppressAutoHyphens w:val="0"/>
      <w:bidi w:val="0"/>
      <w:spacing w:before="0" w:after="240" w:line="240" w:lineRule="auto"/>
      <w:ind w:left="0" w:right="0" w:firstLine="0"/>
      <w:jc w:val="right"/>
      <w:outlineLvl w:val="9"/>
    </w:pPr>
    <w:rPr>
      <w:rFonts w:ascii="Didot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vertAlign w:val="baseline"/>
      <w:lang w:val="en-US"/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180" w:line="336" w:lineRule="auto"/>
      <w:ind w:left="0" w:right="0" w:firstLine="0"/>
      <w:jc w:val="left"/>
      <w:outlineLvl w:val="9"/>
    </w:pPr>
    <w:rPr>
      <w:rFonts w:ascii="Hoefler Text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94b3a"/>
      <w:spacing w:val="0"/>
      <w:kern w:val="0"/>
      <w:position w:val="0"/>
      <w:sz w:val="20"/>
      <w:szCs w:val="20"/>
      <w:u w:val="none" w:color="594b3a"/>
      <w:vertAlign w:val="baseline"/>
      <w:lang w:val="en-US"/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tabs>
        <w:tab w:val="left" w:pos="6400"/>
      </w:tabs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Baskerville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Heading">
    <w:name w:val="Heading"/>
    <w:next w:val="Body 2"/>
    <w:pPr>
      <w:keepNext w:val="1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1"/>
      <w:bidi w:val="0"/>
      <w:spacing w:before="180" w:after="0" w:line="240" w:lineRule="auto"/>
      <w:ind w:left="0" w:right="0" w:firstLine="0"/>
      <w:jc w:val="left"/>
      <w:outlineLvl w:val="2"/>
    </w:pPr>
    <w:rPr>
      <w:rFonts w:ascii="Didot" w:cs="Arial Unicode MS" w:hAnsi="Arial Unicode MS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22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Subheading">
    <w:name w:val="Subheading"/>
    <w:next w:val="Body 2"/>
    <w:pPr>
      <w:keepNext w:val="1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2"/>
    </w:pPr>
    <w:rPr>
      <w:rFonts w:ascii="Didot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Baskerville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numbering" w:styleId="Imported Style 1">
    <w:name w:val="Imported Style 1"/>
    <w:next w:val="Imported Style 1"/>
    <w:pPr>
      <w:numPr>
        <w:numId w:val="1"/>
      </w:numPr>
    </w:pPr>
  </w:style>
  <w:style w:type="numbering" w:styleId="Imported Style 2">
    <w:name w:val="Imported Style 2"/>
    <w:next w:val="Imported Style 2"/>
    <w:pPr>
      <w:numPr>
        <w:numId w:val="3"/>
      </w:numPr>
    </w:pPr>
  </w:style>
  <w:style w:type="numbering" w:styleId="Imported Style 3">
    <w:name w:val="Imported Style 3"/>
    <w:next w:val="Imported Style 3"/>
    <w:pPr>
      <w:numPr>
        <w:numId w:val="5"/>
      </w:numPr>
    </w:pPr>
  </w:style>
  <w:style w:type="numbering" w:styleId="Imported Style 4">
    <w:name w:val="Imported Style 4"/>
    <w:next w:val="Imported Style 4"/>
    <w:pPr>
      <w:numPr>
        <w:numId w:val="7"/>
      </w:numPr>
    </w:pPr>
  </w:style>
  <w:style w:type="numbering" w:styleId="Imported Style 5">
    <w:name w:val="Imported Style 5"/>
    <w:next w:val="Imported Style 5"/>
    <w:pPr>
      <w:numPr>
        <w:numId w:val="9"/>
      </w:numPr>
    </w:pPr>
  </w:style>
  <w:style w:type="numbering" w:styleId="Imported Style 6">
    <w:name w:val="Imported Style 6"/>
    <w:next w:val="Imported Style 6"/>
    <w:pPr>
      <w:numPr>
        <w:numId w:val="11"/>
      </w:numPr>
    </w:pPr>
  </w:style>
  <w:style w:type="numbering" w:styleId="Imported Style 7">
    <w:name w:val="Imported Style 7"/>
    <w:next w:val="Imported Style 7"/>
    <w:pPr>
      <w:numPr>
        <w:numId w:val="13"/>
      </w:numPr>
    </w:pPr>
  </w:style>
  <w:style w:type="numbering" w:styleId="Imported Style 8">
    <w:name w:val="Imported Style 8"/>
    <w:next w:val="Imported Style 8"/>
    <w:pPr>
      <w:numPr>
        <w:numId w:val="15"/>
      </w:numPr>
    </w:pPr>
  </w:style>
  <w:style w:type="numbering" w:styleId="Imported Style 9">
    <w:name w:val="Imported Style 9"/>
    <w:next w:val="Imported Style 9"/>
    <w:pPr>
      <w:numPr>
        <w:numId w:val="17"/>
      </w:numPr>
    </w:pPr>
  </w:style>
  <w:style w:type="numbering" w:styleId="Imported Style 10">
    <w:name w:val="Imported Style 10"/>
    <w:next w:val="Imported Style 10"/>
    <w:pPr>
      <w:numPr>
        <w:numId w:val="19"/>
      </w:numPr>
    </w:pPr>
  </w:style>
  <w:style w:type="numbering" w:styleId="Imported Style 11">
    <w:name w:val="Imported Style 11"/>
    <w:next w:val="Imported Style 11"/>
    <w:pPr>
      <w:numPr>
        <w:numId w:val="21"/>
      </w:numPr>
    </w:pPr>
  </w:style>
  <w:style w:type="numbering" w:styleId="Imported Style 16">
    <w:name w:val="Imported Style 16"/>
    <w:next w:val="Imported Style 16"/>
    <w:pPr>
      <w:numPr>
        <w:numId w:val="23"/>
      </w:numPr>
    </w:pPr>
  </w:style>
  <w:style w:type="numbering" w:styleId="Imported Style 12">
    <w:name w:val="Imported Style 12"/>
    <w:next w:val="Imported Style 12"/>
    <w:pPr>
      <w:numPr>
        <w:numId w:val="26"/>
      </w:numPr>
    </w:pPr>
  </w:style>
  <w:style w:type="numbering" w:styleId="Imported Style 13">
    <w:name w:val="Imported Style 13"/>
    <w:next w:val="Imported Style 13"/>
    <w:pPr>
      <w:numPr>
        <w:numId w:val="28"/>
      </w:numPr>
    </w:pPr>
  </w:style>
  <w:style w:type="numbering" w:styleId="Imported Style 14">
    <w:name w:val="Imported Style 14"/>
    <w:next w:val="Imported Style 14"/>
    <w:pPr>
      <w:numPr>
        <w:numId w:val="30"/>
      </w:numPr>
    </w:pPr>
  </w:style>
  <w:style w:type="numbering" w:styleId="Imported Style 15">
    <w:name w:val="Imported Style 15"/>
    <w:next w:val="Imported Style 15"/>
    <w:pPr>
      <w:numPr>
        <w:numId w:val="32"/>
      </w:numPr>
    </w:pPr>
  </w:style>
  <w:style w:type="numbering" w:styleId="Imported Style 17">
    <w:name w:val="Imported Style 17"/>
    <w:next w:val="Imported Style 17"/>
    <w:pPr>
      <w:numPr>
        <w:numId w:val="34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.xml"/><Relationship Id="rId5" Type="http://schemas.openxmlformats.org/officeDocument/2006/relationships/footer" Target="footer.xml"/><Relationship Id="rId6" Type="http://schemas.openxmlformats.org/officeDocument/2006/relationships/numbering" Target="numbering.xml"/>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