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xlsx" ContentType="application/vnd.openxmlformats-officedocument.spreadsheetml.shee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tbl>
      <w:tblPr>
        <w:tblStyle w:val="Default Table"/>
        <w:tblCellMar w:top="0" w:left="0" w:bottom="0" w:right="0"/>
        <w:tblW w:w="9720" w:type="auto"/>
        <w:tblInd w:w="-360" w:type="dxa"/>
        <w:tblLook w:val="0000"/>
      </w:tblPr>
      <w:tblGrid>
        <w:gridCol w:w="9720"/>
      </w:tblGrid>
      <w:tr>
        <w:tc>
          <w:tcPr>
            <w:tcW w:w="9720" w:type="dxa"/>
            <w:tcMar>
              <w:left w:w="0" w:type="dxa"/>
              <w:right w:w="0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Default Table"/>
              <w:tblCellMar w:top="0" w:left="0" w:bottom="0" w:right="0"/>
              <w:tblW w:w="9720" w:type="auto"/>
              <w:tblLook w:val="0000"/>
            </w:tblPr>
            <w:tblGrid>
              <w:gridCol w:w="9720"/>
            </w:tblGrid>
            <w:tr>
              <w:trPr>
                <w:trHeight w:val="12740"/>
              </w:trPr>
              <w:tc>
                <w:tcPr>
                  <w:tcW w:w="9720" w:type="dxa"/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ara0"/>
                    <w:spacing w:line="240" w:lineRule="auto" w:after="280"/>
                    <w:ind w:left="0" w:hanging="0"/>
                    <w:rPr>
                      <w:b/>
                      <w:sz w:val="24"/>
                      <w:szCs w:val="24"/>
                      <w:sz w:val="24"/>
                      <w:szCs w:val="24"/>
                      <w:rFonts w:ascii="Segoe Script" w:eastAsia="Segoe Script" w:hAnsi="Segoe Script"/>
                    </w:rPr>
                  </w:pPr>
                  <w:r>
                    <w:rPr>
                      <w:rStyle w:val="Character1"/>
                      <w:b/>
                      <w:sz w:val="24"/>
                      <w:szCs w:val="24"/>
                    </w:rPr>
                    <w:t xml:space="preserve">Robert Garcia</w:t>
                  </w:r>
                </w:p>
                <w:p>
                  <w:pPr>
                    <w:pStyle w:val="Para1"/>
                    <w:spacing w:line="240" w:lineRule="auto" w:before="280" w:after="280"/>
                    <w:ind w:left="0" w:hanging="0"/>
                    <w:rPr>
                      <w:b/>
                      <w:sz w:val="24"/>
                      <w:szCs w:val="24"/>
                      <w:sz w:val="24"/>
                      <w:szCs w:val="24"/>
                      <w:rFonts w:ascii="Segoe Script" w:eastAsia="Segoe Script" w:hAnsi="Segoe Script"/>
                    </w:rPr>
                  </w:pPr>
                  <w:r>
                    <w:rPr>
                      <w:rStyle w:val="Character1"/>
                      <w:b/>
                      <w:sz w:val="24"/>
                      <w:szCs w:val="24"/>
                    </w:rPr>
                    <w:t xml:space="preserve">2308 Cromwell Dr.</w:t>
                  </w:r>
                </w:p>
                <w:p>
                  <w:pPr>
                    <w:pStyle w:val="Para1"/>
                    <w:spacing w:line="240" w:lineRule="auto" w:before="280" w:after="280"/>
                    <w:ind w:left="0" w:hanging="0"/>
                    <w:rPr>
                      <w:b/>
                      <w:sz w:val="24"/>
                      <w:szCs w:val="24"/>
                      <w:sz w:val="24"/>
                      <w:szCs w:val="24"/>
                      <w:rFonts w:ascii="Segoe Script" w:eastAsia="Segoe Script" w:hAnsi="Segoe Script"/>
                    </w:rPr>
                  </w:pPr>
                  <w:r>
                    <w:rPr>
                      <w:rStyle w:val="Character1"/>
                      <w:b/>
                      <w:sz w:val="24"/>
                      <w:szCs w:val="24"/>
                    </w:rPr>
                    <w:t xml:space="preserve">Arlington, TX 76018</w:t>
                  </w:r>
                </w:p>
                <w:p>
                  <w:pPr>
                    <w:pStyle w:val="Para1"/>
                    <w:spacing w:line="240" w:lineRule="auto" w:before="280" w:after="280"/>
                    <w:ind w:left="0" w:hanging="0"/>
                    <w:rPr>
                      <w:b/>
                      <w:sz w:val="24"/>
                      <w:szCs w:val="24"/>
                      <w:sz w:val="24"/>
                      <w:szCs w:val="24"/>
                      <w:rFonts w:ascii="Segoe Script" w:eastAsia="Segoe Script" w:hAnsi="Segoe Script"/>
                    </w:rPr>
                  </w:pPr>
                  <w:r>
                    <w:rPr>
                      <w:rStyle w:val="Character1"/>
                      <w:b/>
                      <w:sz w:val="24"/>
                      <w:szCs w:val="24"/>
                    </w:rPr>
                    <w:t xml:space="preserve">(817) 808-3948</w:t>
                  </w:r>
                </w:p>
                <w:p>
                  <w:pPr>
                    <w:pStyle w:val="Para1"/>
                    <w:spacing w:line="240" w:lineRule="auto" w:before="280" w:after="280"/>
                    <w:ind w:left="0" w:hanging="0"/>
                    <w:rPr>
                      <w:b/>
                      <w:sz w:val="24"/>
                      <w:szCs w:val="24"/>
                      <w:sz w:val="24"/>
                      <w:szCs w:val="24"/>
                      <w:rFonts w:ascii="Segoe Script" w:eastAsia="Segoe Script" w:hAnsi="Segoe Script"/>
                    </w:rPr>
                  </w:pPr>
                  <w:r>
                    <w:rPr>
                      <w:rStyle w:val="Character1"/>
                      <w:b/>
                      <w:sz w:val="24"/>
                      <w:szCs w:val="24"/>
                    </w:rPr>
                    <w:t>geminigarcia@yahoo.com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</w:p>
                <w:p>
                  <w:pPr>
                    <w:pStyle w:val="Para1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</w:p>
                <w:p>
                  <w:pPr>
                    <w:pStyle w:val="Para1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3"/>
                      <w:b/>
                      <w:sz w:val="24"/>
                      <w:szCs w:val="24"/>
                    </w:rPr>
                    <w:t>Objective: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Seeking an opportunity to add value by contributing my experience and knowledge while exploring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avenues to grow professionally. Also to flourish within any given position that I may encounter,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while absorbing any and every experience along the way.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3"/>
                      <w:b/>
                      <w:sz w:val="24"/>
                      <w:szCs w:val="24"/>
                    </w:rPr>
                    <w:t>Skills/Certifications: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Bilingual, HIPAA Certified, Case Management and Documentation, Security Network Awareness,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Ace Sharepoint, Email and Meeting Protocols, Forklift certified basic safety orientation, respiratory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protection and basic first aid (w/ adult CPR/BBP), HAZMAT certified.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b/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3"/>
                      <w:b/>
                      <w:sz w:val="24"/>
                      <w:szCs w:val="24"/>
                    </w:rPr>
                    <w:t xml:space="preserve">Work History:</w:t>
                  </w:r>
                </w:p>
                <w:p>
                  <w:pPr>
                    <w:pStyle w:val="a3"/>
                    <w:numPr>
                      <w:ilvl w:val="0"/>
                      <w:numId w:val="1"/>
                    </w:numPr>
                    <w:jc w:val="left"/>
                    <w:spacing w:line="240" w:lineRule="auto"/>
                    <w:contextualSpacing w:val="1"/>
                    <w:ind w:left="720" w:hanging="360"/>
                    <w:rPr>
                      <w:sz w:val="24"/>
                      <w:szCs w:val="24"/>
                      <w:sz w:val="20"/>
                      <w:szCs w:val="20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Conexis                                                                            From: Aug. ’10-Present </w:t>
                  </w:r>
                </w:p>
                <w:p>
                  <w:pPr>
                    <w:pStyle w:val="Para5"/>
                    <w:spacing w:line="240" w:lineRule="auto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2"/>
                      <w:sz w:val="24"/>
                      <w:szCs w:val="24"/>
                    </w:rPr>
                    <w:t xml:space="preserve">            6191 North State Highway 161</w:t>
                  </w:r>
                </w:p>
                <w:p>
                  <w:pPr>
                    <w:pStyle w:val="Para5"/>
                    <w:spacing w:line="240" w:lineRule="auto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2"/>
                      <w:sz w:val="24"/>
                      <w:szCs w:val="24"/>
                    </w:rPr>
                    <w:t xml:space="preserve">            Irving, TX 75038</w:t>
                  </w:r>
                </w:p>
                <w:p>
                  <w:pPr>
                    <w:pStyle w:val="Para5"/>
                    <w:spacing w:line="240" w:lineRule="auto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</w:p>
                <w:p>
                  <w:pPr>
                    <w:pStyle w:val="Para5"/>
                    <w:spacing w:line="240" w:lineRule="auto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            Manager:   Nicole Osterloh  (214) 596-690</w:t>
                  </w:r>
                </w:p>
                <w:p>
                  <w:pPr>
                    <w:pStyle w:val="Para5"/>
                    <w:spacing w:line="240" w:lineRule="auto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</w:p>
                <w:p>
                  <w:pPr>
                    <w:pStyle w:val="a3"/>
                    <w:numPr>
                      <w:ilvl w:val="0"/>
                      <w:numId w:val="2"/>
                    </w:numPr>
                    <w:jc w:val="left"/>
                    <w:spacing w:line="240" w:lineRule="auto"/>
                    <w:contextualSpacing w:val="1"/>
                    <w:ind w:left="720" w:hanging="360"/>
                    <w:rPr>
                      <w:sz w:val="24"/>
                      <w:szCs w:val="24"/>
                      <w:sz w:val="20"/>
                      <w:szCs w:val="20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Brenntag Southwest, Inc.                                                From: Mar. ‘08- Aug. ’09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2"/>
                      <w:sz w:val="24"/>
                      <w:szCs w:val="24"/>
                    </w:rPr>
                    <w:t xml:space="preserve">            108 East 67th Street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2"/>
                      <w:sz w:val="24"/>
                      <w:szCs w:val="24"/>
                    </w:rPr>
                    <w:t xml:space="preserve">            Odessa, TX 79762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2"/>
                      <w:sz w:val="24"/>
                      <w:szCs w:val="24"/>
                    </w:rPr>
                    <w:t xml:space="preserve">            Supervisor: Roy Sanchez     (432) 413-6720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</w:p>
                <w:p>
                  <w:pPr>
                    <w:pStyle w:val="a3"/>
                    <w:numPr>
                      <w:ilvl w:val="0"/>
                      <w:numId w:val="2"/>
                    </w:numPr>
                    <w:jc w:val="left"/>
                    <w:spacing w:line="240" w:lineRule="auto"/>
                    <w:contextualSpacing w:val="1"/>
                    <w:ind w:left="720" w:hanging="360"/>
                    <w:rPr>
                      <w:sz w:val="24"/>
                      <w:szCs w:val="24"/>
                      <w:sz w:val="20"/>
                      <w:szCs w:val="20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Salazar Service Trucking Corp.                                         From: Feb. ‘07- Mar. ‘08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            4050 S. County Rd. West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            Odessa, Texas 79766 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            Owner/Supervisor: Noe Salazar (432) 238-2673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</w:p>
                <w:p>
                  <w:pPr>
                    <w:pStyle w:val="a3"/>
                    <w:numPr>
                      <w:ilvl w:val="0"/>
                      <w:numId w:val="2"/>
                    </w:numPr>
                    <w:jc w:val="left"/>
                    <w:spacing w:line="240" w:lineRule="auto"/>
                    <w:contextualSpacing w:val="1"/>
                    <w:ind w:left="720" w:hanging="360"/>
                    <w:rPr>
                      <w:sz w:val="24"/>
                      <w:szCs w:val="24"/>
                      <w:sz w:val="20"/>
                      <w:szCs w:val="20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Mears/CPG,LLC                                                                From: May ‘04- Feb. ‘07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            Rosebush, MI. 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            Superintendent: Bryan Kelly (616) 455-2360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10"/>
                      <w:i/>
                      <w:sz w:val="24"/>
                      <w:szCs w:val="24"/>
                    </w:rPr>
                    <w:t xml:space="preserve">Current Training/Experience: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2"/>
                      <w:szCs w:val="22"/>
                      <w:rFonts w:ascii="Times New Roman" w:eastAsia="Times New Roman" w:hAnsi="Times New Roman"/>
                    </w:rPr>
                  </w:pPr>
                  <w:r>
                    <w:rPr>
                      <w:rStyle w:val="Character12"/>
                    </w:rPr>
                    <w:t xml:space="preserve"> </w:t>
                  </w:r>
                  <w:r>
                    <w:rPr>
                      <w:rStyle w:val="Character13"/>
                      <w:sz w:val="22"/>
                      <w:szCs w:val="22"/>
                    </w:rPr>
                    <w:t xml:space="preserve">Deal with over 6 departments within the insurance department in our facility. Document for insurance claims, </w:t>
                  </w:r>
                  <w:r>
                    <w:rPr>
                      <w:rStyle w:val="Character13"/>
                      <w:sz w:val="22"/>
                      <w:szCs w:val="22"/>
                    </w:rPr>
                    <w:t xml:space="preserve">amounts, and personal information and that it is done correctly before submitting to be printed. Make sure </w:t>
                  </w:r>
                  <w:r>
                    <w:rPr>
                      <w:rStyle w:val="Character13"/>
                      <w:sz w:val="22"/>
                      <w:szCs w:val="22"/>
                    </w:rPr>
                    <w:t xml:space="preserve">proper paper work is logged in computer if not log it in.</w:t>
                  </w:r>
                  <w:r>
                    <w:rPr>
                      <w:rStyle w:val="Character14"/>
                    </w:rPr>
                    <w:t xml:space="preserve">  </w:t>
                  </w:r>
                  <w:r>
                    <w:rPr>
                      <w:rStyle w:val="Character13"/>
                      <w:sz w:val="22"/>
                      <w:szCs w:val="22"/>
                    </w:rPr>
                    <w:t xml:space="preserve">Run the mail room inserters and printers that print </w:t>
                  </w:r>
                  <w:r>
                    <w:rPr>
                      <w:rStyle w:val="Character13"/>
                      <w:sz w:val="22"/>
                      <w:szCs w:val="22"/>
                    </w:rPr>
                    <w:t xml:space="preserve">out checks for insurance companies throughout the country and international as well. Maintain and repair </w:t>
                  </w:r>
                  <w:r>
                    <w:rPr>
                      <w:rStyle w:val="Character13"/>
                      <w:sz w:val="22"/>
                      <w:szCs w:val="22"/>
                    </w:rPr>
                    <w:t xml:space="preserve">equipment if and when it goes down. Fill equipment up with the proper ink cartridges and make sure they are </w:t>
                  </w:r>
                  <w:r>
                    <w:rPr>
                      <w:rStyle w:val="Character13"/>
                      <w:sz w:val="22"/>
                      <w:szCs w:val="22"/>
                    </w:rPr>
                    <w:t xml:space="preserve">running sufficiently. Work with FED-EX, UPS, regular mail and all other couriers. 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10"/>
                      <w:i/>
                      <w:sz w:val="24"/>
                      <w:szCs w:val="24"/>
                    </w:rPr>
                    <w:t xml:space="preserve">Warehouse Training/Experience: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Report directly to the Operations Manager. Safely and accurately calculate, build and assemble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customer orders to prepare them for delivery, inner-yard transfer or customer pick-up. Carefully load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 materials for delivery onto trucks in cooperation with the truck drivers. Unload and stock incoming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material from vendors. Other responsibilities include: Handling and organizing all materials to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minimize damage, operating forklift equipment and performing routine maintenance during down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time, safely and neatly maintaining storage areas, entry and exit points, and all high traffic avenues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of the facilities to allow for unobstructed safe passage. Professionally and courteously assist all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customers as they enter the yard for material pick-up or returns. </w:t>
                  </w:r>
                  <w:r>
                    <w:rPr>
                      <w:rStyle w:val="Character10"/>
                      <w:i/>
                      <w:sz w:val="24"/>
                      <w:szCs w:val="24"/>
                    </w:rPr>
                    <w:t xml:space="preserve">  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  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Responsibilities included: Using forklift to pull orders, working in the receiving and shipping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department, picking, packing, and scanning orders using a palletizer and doing inventory. Performed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shipping and receiving duties. Pulled and stocked orders in a temperature controlled setting. Served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as a UPS &amp; FED-EX warehouse person with the use of an RF Scanner 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> 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*Trained in Customer Safety Requirements, Hazard Communication, Personal Protective Equipment,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Hearing Conservation, Lock Out/Tag Out, Electrical Safe Work Practices, Emergency Action Plans,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Fire Extinguishers, Hydrogen Sulfide Safety, Hazwoper Awareness, Cranes/Chains/Slings/Rigging,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Working Surfaces/Ladders/Fall Protection, Confined Space Overview.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*Transportation of Hazardous Materials to refineries &amp; oil field leases, also performed warehouse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duties.  Knowledge of HAZMAT.  Load and unload of bulk and van trucks with the proper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chemicals entering and leaving the facility, and collected chemical samples and proper paperwork. 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*Mixing and blending dry and liquid chemicals; initiating, monitoring, and controlling process;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collecting and testing samples; completing quality assurance tests. 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*Test chemicals, and air during processing to assess factors such as purity and moisture content, and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to detect quality problems or chemical leaks. 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*Clean, maintain, and repair equipment, using hand tools, or request that repair and maintenance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work be performed.  Collaborate with other operators to solve unit problems.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*Monitor transportation and storage of flammable and other potentially dangerous products to ensure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that safety guidelines are followed.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*Read log sheets to determine product demand and disposition, or to detect malfunctions and record,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review, and compile operations records, test results, and gauge readings such as temperatures,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pressures, concentrations, and flows.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*Adjust temperature, pressure, vacuum, level, flow rate, and/or transfer of chemicals to maintain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process at required levels or to correct problems, and turn valves to regulate maintain processes at 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required levels or to correct problems, and turn valves to regulate tanks.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3"/>
                      <w:b/>
                      <w:sz w:val="24"/>
                      <w:szCs w:val="24"/>
                    </w:rPr>
                    <w:t>Education:</w:t>
                  </w:r>
                </w:p>
                <w:p>
                  <w:pPr>
                    <w:pStyle w:val="a3"/>
                    <w:numPr>
                      <w:ilvl w:val="0"/>
                      <w:numId w:val="2"/>
                    </w:numPr>
                    <w:jc w:val="left"/>
                    <w:spacing w:line="240" w:lineRule="auto"/>
                    <w:contextualSpacing w:val="1"/>
                    <w:ind w:left="720" w:hanging="360"/>
                    <w:rPr>
                      <w:sz w:val="24"/>
                      <w:szCs w:val="24"/>
                      <w:sz w:val="20"/>
                      <w:szCs w:val="20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Van Horn High School Attended from: 1988-1991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             200 W. 7</w:t>
                  </w:r>
                  <w:r>
                    <w:rPr>
                      <w:rStyle w:val="Character15"/>
                      <w:vertAlign w:val="superscript"/>
                      <w:sz w:val="24"/>
                      <w:szCs w:val="24"/>
                    </w:rPr>
                    <w:t>th</w:t>
                  </w:r>
                  <w:r>
                    <w:rPr>
                      <w:rStyle w:val="Character4"/>
                      <w:sz w:val="24"/>
                      <w:szCs w:val="24"/>
                    </w:rPr>
                    <w:t xml:space="preserve"> St.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             Van Horn, Texas 79855</w:t>
                  </w:r>
                </w:p>
                <w:p>
                  <w:pPr>
                    <w:pStyle w:val="a3"/>
                    <w:numPr>
                      <w:ilvl w:val="0"/>
                      <w:numId w:val="2"/>
                    </w:numPr>
                    <w:jc w:val="left"/>
                    <w:spacing w:line="240" w:lineRule="auto"/>
                    <w:contextualSpacing w:val="1"/>
                    <w:ind w:left="720" w:hanging="360"/>
                    <w:rPr>
                      <w:sz w:val="24"/>
                      <w:szCs w:val="24"/>
                      <w:sz w:val="20"/>
                      <w:szCs w:val="20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ITT Technical Institute Attended from: 1992-1993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            551 Ryan Plaza Dr.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           Arlington, Texas 76011</w:t>
                  </w:r>
                </w:p>
                <w:p>
                  <w:pPr>
                    <w:pStyle w:val="Para2"/>
                    <w:spacing w:line="240" w:lineRule="auto" w:before="280" w:after="280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Times New Roman" w:eastAsia="Times New Roman" w:hAnsi="Times New Roman"/>
                    </w:rPr>
                  </w:pPr>
                  <w:r>
                    <w:rPr>
                      <w:rStyle w:val="Character3"/>
                      <w:b/>
                      <w:sz w:val="24"/>
                      <w:szCs w:val="24"/>
                    </w:rPr>
                    <w:t>References:</w:t>
                  </w:r>
                </w:p>
                <w:p>
                  <w:pPr>
                    <w:pStyle w:val="a3"/>
                    <w:numPr>
                      <w:ilvl w:val="0"/>
                      <w:numId w:val="2"/>
                    </w:numPr>
                    <w:jc w:val="left"/>
                    <w:spacing w:line="240" w:lineRule="auto"/>
                    <w:contextualSpacing w:val="1"/>
                    <w:ind w:left="720" w:hanging="360"/>
                    <w:rPr>
                      <w:sz w:val="24"/>
                      <w:szCs w:val="24"/>
                      <w:sz w:val="20"/>
                      <w:szCs w:val="20"/>
                    </w:rPr>
                  </w:pPr>
                  <w:r>
                    <w:rPr>
                      <w:rStyle w:val="Character4"/>
                      <w:sz w:val="24"/>
                      <w:szCs w:val="24"/>
                    </w:rPr>
                    <w:t xml:space="preserve">Available upon request.</w:t>
                  </w:r>
                </w:p>
              </w:tc>
            </w:tr>
            <w:tr>
              <w:tc>
                <w:tcPr>
                  <w:tcW w:w="9720" w:type="dxa"/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ara6"/>
                    <w:spacing w:line="240" w:lineRule="auto" w:after="280"/>
                    <w:ind w:left="0" w:hanging="0"/>
                    <w:rPr>
                      <w:b/>
                      <w:sz w:val="24"/>
                      <w:szCs w:val="24"/>
                      <w:sz w:val="24"/>
                      <w:szCs w:val="24"/>
                      <w:rFonts w:ascii="Segoe Script" w:eastAsia="Segoe Script" w:hAnsi="Segoe Script"/>
                    </w:rPr>
                  </w:pPr>
                </w:p>
              </w:tc>
            </w:tr>
          </w:tbl>
          <w:p>
            <w:pPr>
              <w:pStyle w:val="Para7"/>
              <w:spacing w:line="240" w:lineRule="auto" w:after="280"/>
              <w:ind w:left="0" w:hanging="0"/>
              <w:rPr>
                <w:b/>
                <w:sz w:val="24"/>
                <w:szCs w:val="24"/>
                <w:sz w:val="24"/>
                <w:szCs w:val="24"/>
                <w:rFonts w:ascii="Segoe Script" w:eastAsia="Segoe Script" w:hAnsi="Segoe Script"/>
              </w:rPr>
            </w:pPr>
          </w:p>
          <w:p>
            <w:pPr>
              <w:pStyle w:val="Para5"/>
              <w:spacing w:line="240" w:lineRule="auto"/>
              <w:ind w:left="0" w:hanging="0"/>
              <w:rPr>
                <w:sz w:val="24"/>
                <w:szCs w:val="24"/>
                <w:sz w:val="24"/>
                <w:szCs w:val="24"/>
                <w:rFonts w:ascii="Times New Roman" w:eastAsia="Times New Roman" w:hAnsi="Times New Roman"/>
              </w:rPr>
            </w:pPr>
          </w:p>
        </w:tc>
      </w:tr>
    </w:tbl>
    <w:p>
      <w:pPr>
        <w:pStyle w:val="Para9"/>
        <w:spacing w:line="276" w:lineRule="auto" w:after="200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Wingdings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egoe Script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Monotype Corsiv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nsid w:val="0"/>
    <w:multiLevelType w:val="hybridMultilevel"/>
    <w:tmpl w:val="1589415188"/>
    <w:lvl w:ilvl="0">
      <w:start w:val="0"/>
      <w:numFmt w:val="bullet"/>
      <w:lvlText w:val="·"/>
      <w:pPr>
        <w:ind w:left="720" w:hanging="360"/>
      </w:pPr>
      <w:rPr>
        <w:rFonts w:ascii="Symbol" w:eastAsia="Times New Roman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</w:abstractNum>
  <w:abstractNum w:abstractNumId="1">
    <w:nsid w:val="1"/>
    <w:multiLevelType w:val="hybridMultilevel"/>
    <w:tmpl w:val="882207749"/>
    <w:lvl w:ilvl="0">
      <w:start w:val="0"/>
      <w:numFmt w:val="bullet"/>
      <w:lvlText w:val="·"/>
      <w:pPr>
        <w:ind w:left="720" w:hanging="360"/>
      </w:pPr>
      <w:rPr>
        <w:rFonts w:ascii="Symbol" w:eastAsia="Times New Roman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Segoe Script" w:eastAsia="Times New Roman" w:hAnsi="Segoe Script" w:hint="default"/>
      </w:rPr>
      <w:rPr>
        <w:b/>
        <w:sz w:val="24"/>
        <w:szCs w:val="24"/>
        <w:color w:val="00000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2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400"/>
    </w:pPr>
  </w:style>
  <w:style w:type="paragraph" w:customStyle="1" w:styleId="Para0">
    <w:name w:val="ParaAttribute0"/>
    <w:pPr>
      <w:spacing w:after="280"/>
      <w:jc w:val="center"/>
      <w:wordWrap w:val="false"/>
      <w:ind w:left="0" w:hanging="0"/>
      <w:rPr/>
    </w:pPr>
  </w:style>
  <w:style w:type="paragraph" w:customStyle="1" w:styleId="Para1">
    <w:name w:val="ParaAttribute1"/>
    <w:pPr>
      <w:spacing w:before="280" w:after="280"/>
      <w:jc w:val="center"/>
      <w:wordWrap w:val="false"/>
      <w:ind w:left="0" w:hanging="0"/>
      <w:rPr/>
    </w:pPr>
  </w:style>
  <w:style w:type="paragraph" w:customStyle="1" w:styleId="Para2">
    <w:name w:val="ParaAttribute2"/>
    <w:pPr>
      <w:spacing w:before="280" w:after="280"/>
      <w:jc w:val="left"/>
      <w:wordWrap w:val="false"/>
      <w:ind w:left="0" w:hanging="0"/>
      <w:rPr/>
    </w:pPr>
  </w:style>
  <w:style w:type="paragraph" w:customStyle="1" w:styleId="Para3">
    <w:name w:val="ParaAttribute3"/>
    <w:pPr>
      <w:spacing w:before="280" w:after="280"/>
      <w:jc w:val="left"/>
      <w:wordWrap w:val="false"/>
      <w:ind w:left="720" w:hanging="360"/>
      <w:rPr/>
    </w:pPr>
  </w:style>
  <w:style w:type="paragraph" w:customStyle="1" w:styleId="Para4">
    <w:name w:val="ParaAttribute4"/>
    <w:pPr>
      <w:jc w:val="left"/>
      <w:wordWrap w:val="false"/>
      <w:ind w:left="720" w:hanging="360"/>
      <w:rPr/>
    </w:pPr>
  </w:style>
  <w:style w:type="paragraph" w:customStyle="1" w:styleId="Para5">
    <w:name w:val="ParaAttribute5"/>
    <w:pPr>
      <w:jc w:val="left"/>
      <w:wordWrap w:val="false"/>
      <w:ind w:left="0" w:hanging="0"/>
      <w:rPr/>
    </w:pPr>
  </w:style>
  <w:style w:type="paragraph" w:customStyle="1" w:styleId="Para6">
    <w:name w:val="ParaAttribute6"/>
    <w:pPr>
      <w:spacing w:after="280"/>
      <w:jc w:val="left"/>
      <w:wordWrap w:val="false"/>
      <w:ind w:left="0" w:hanging="0"/>
      <w:rPr/>
    </w:pPr>
  </w:style>
  <w:style w:type="paragraph" w:customStyle="1" w:styleId="Para7">
    <w:name w:val="ParaAttribute7"/>
    <w:pPr>
      <w:spacing w:after="280"/>
      <w:jc w:val="left"/>
      <w:wordWrap w:val="false"/>
      <w:ind w:left="0" w:hanging="0"/>
      <w:rPr/>
    </w:pPr>
  </w:style>
  <w:style w:type="paragraph" w:customStyle="1" w:styleId="Para8">
    <w:name w:val="ParaAttribute8"/>
    <w:pPr>
      <w:spacing w:after="280"/>
      <w:jc w:val="left"/>
      <w:wordWrap w:val="false"/>
      <w:ind w:left="-360" w:firstLine="0"/>
      <w:rPr/>
    </w:pPr>
  </w:style>
  <w:style w:type="paragraph" w:customStyle="1" w:styleId="Para9">
    <w:name w:val="ParaAttribute9"/>
    <w:pPr>
      <w:spacing w:after="200"/>
      <w:jc w:val="left"/>
      <w:wordWrap w:val="false"/>
      <w:ind w:left="0" w:hanging="0"/>
      <w:widowControl w:val="false"/>
      <w:rPr/>
    </w:pPr>
  </w:style>
  <w:style w:type="paragraph" w:customStyle="1" w:styleId="Para10">
    <w:name w:val="ParaAttribute10"/>
    <w:pPr>
      <w:jc w:val="left"/>
      <w:wordWrap w:val="false"/>
      <w:ind w:left="0" w:hanging="0"/>
      <w:widowControl w:val="false"/>
      <w:rPr/>
    </w:pPr>
  </w:style>
  <w:style w:type="paragraph" w:customStyle="1" w:styleId="Para11">
    <w:name w:val="ParaAttribute11"/>
    <w:pPr>
      <w:jc w:val="left"/>
      <w:wordWrap w:val="false"/>
      <w:ind w:left="0" w:hanging="0"/>
      <w:widowControl w:val="false"/>
      <w:rPr/>
    </w:pPr>
  </w:style>
  <w:style w:type="paragraph" w:customStyle="1" w:styleId="Para12">
    <w:name w:val="ParaAttribute12"/>
    <w:pPr>
      <w:jc w:val="left"/>
      <w:wordWrap w:val="false"/>
      <w:ind w:left="0" w:hanging="0"/>
      <w:widowControl w:val="false"/>
      <w:rPr/>
    </w:pPr>
  </w:style>
  <w:style w:type="paragraph" w:customStyle="1" w:styleId="Para13">
    <w:name w:val="ParaAttribute13"/>
    <w:pPr>
      <w:jc w:val="left"/>
      <w:wordWrap w:val="false"/>
      <w:ind w:left="0" w:hanging="0"/>
      <w:widowControl w:val="false"/>
      <w:rPr/>
    </w:pPr>
  </w:style>
  <w:style w:type="paragraph" w:customStyle="1" w:styleId="Para14">
    <w:name w:val="ParaAttribute14"/>
    <w:pPr>
      <w:jc w:val="left"/>
      <w:wordWrap w:val="false"/>
      <w:ind w:left="0" w:hanging="0"/>
      <w:widowControl w:val="false"/>
      <w:rPr/>
    </w:pPr>
  </w:style>
  <w:style w:type="paragraph" w:customStyle="1" w:styleId="Para15">
    <w:name w:val="ParaAttribute15"/>
    <w:pPr>
      <w:jc w:val="left"/>
      <w:wordWrap w:val="false"/>
      <w:ind w:left="0" w:hanging="0"/>
      <w:widowControl w:val="false"/>
      <w:rPr/>
    </w:pPr>
  </w:style>
  <w:style w:type="paragraph" w:customStyle="1" w:styleId="Para16">
    <w:name w:val="ParaAttribute16"/>
    <w:pPr>
      <w:jc w:val="left"/>
      <w:wordWrap w:val="false"/>
      <w:ind w:left="0" w:hanging="0"/>
      <w:widowControl w:val="false"/>
      <w:rPr/>
    </w:pPr>
  </w:style>
  <w:style w:type="paragraph" w:customStyle="1" w:styleId="Para17">
    <w:name w:val="ParaAttribute17"/>
    <w:pPr>
      <w:jc w:val="left"/>
      <w:wordWrap w:val="false"/>
      <w:ind w:left="0" w:hanging="0"/>
      <w:widowControl w:val="false"/>
      <w:rPr/>
    </w:pPr>
  </w:style>
  <w:style w:type="character" w:customStyle="1" w:styleId="Character0">
    <w:name w:val="CharAttribute0"/>
    <w:rPr>
      <w:rFonts w:ascii="Segoe Script" w:eastAsia="Times New Roman"/>
      <w:b/>
      <w:sz w:val="24"/>
    </w:rPr>
  </w:style>
  <w:style w:type="character" w:customStyle="1" w:styleId="Character1">
    <w:name w:val="CharAttribute1"/>
    <w:rPr>
      <w:rFonts w:ascii="Segoe Script" w:eastAsia="Times New Roman"/>
      <w:b/>
      <w:sz w:val="24"/>
    </w:rPr>
  </w:style>
  <w:style w:type="character" w:customStyle="1" w:styleId="Character2">
    <w:name w:val="CharAttribute2"/>
    <w:rPr>
      <w:rFonts w:ascii="Times New Roman" w:eastAsia="Times New Roman"/>
      <w:sz w:val="24"/>
    </w:rPr>
  </w:style>
  <w:style w:type="character" w:customStyle="1" w:styleId="Character3">
    <w:name w:val="CharAttribute3"/>
    <w:rPr>
      <w:rFonts w:ascii="Times New Roman" w:eastAsia="Times New Roman"/>
      <w:b/>
      <w:sz w:val="24"/>
    </w:rPr>
  </w:style>
  <w:style w:type="character" w:customStyle="1" w:styleId="Character4">
    <w:name w:val="CharAttribute4"/>
    <w:rPr>
      <w:rFonts w:ascii="Times New Roman" w:eastAsia="Times New Roman"/>
      <w:sz w:val="24"/>
    </w:rPr>
  </w:style>
  <w:style w:type="character" w:customStyle="1" w:styleId="Character5">
    <w:name w:val="CharAttribute5"/>
    <w:rPr>
      <w:rFonts w:ascii="Times New Roman" w:eastAsia="Times New Roman"/>
      <w:b/>
      <w:sz w:val="24"/>
    </w:rPr>
  </w:style>
  <w:style w:type="character" w:customStyle="1" w:styleId="Character6">
    <w:name w:val="CharAttribute6"/>
    <w:rPr>
      <w:rFonts w:ascii="Symbol" w:eastAsia="Times New Roman"/>
      <w:sz w:val="24"/>
    </w:rPr>
  </w:style>
  <w:style w:type="character" w:customStyle="1" w:styleId="Character7">
    <w:name w:val="CharAttribute7"/>
    <w:rPr>
      <w:rFonts w:ascii="Symbol" w:eastAsia="Times New Roman"/>
      <w:sz w:val="24"/>
    </w:rPr>
  </w:style>
  <w:style w:type="character" w:customStyle="1" w:styleId="Character8">
    <w:name w:val="CharAttribute8"/>
    <w:rPr>
      <w:rFonts w:ascii="Symbol" w:eastAsia="Times New Roman"/>
      <w:sz w:val="24"/>
    </w:rPr>
  </w:style>
  <w:style w:type="character" w:customStyle="1" w:styleId="Character9">
    <w:name w:val="CharAttribute9"/>
    <w:rPr>
      <w:rFonts w:ascii="Symbol" w:eastAsia="Times New Roman"/>
      <w:sz w:val="24"/>
    </w:rPr>
  </w:style>
  <w:style w:type="character" w:customStyle="1" w:styleId="Character10">
    <w:name w:val="CharAttribute10"/>
    <w:rPr>
      <w:rFonts w:ascii="Times New Roman" w:eastAsia="Times New Roman"/>
      <w:i/>
      <w:sz w:val="24"/>
    </w:rPr>
  </w:style>
  <w:style w:type="character" w:customStyle="1" w:styleId="Character11">
    <w:name w:val="CharAttribute11"/>
    <w:rPr>
      <w:rFonts w:ascii="Times New Roman" w:eastAsia="Times New Roman"/>
    </w:rPr>
  </w:style>
  <w:style w:type="character" w:customStyle="1" w:styleId="Character12">
    <w:name w:val="CharAttribute12"/>
    <w:rPr>
      <w:rFonts w:ascii="Monotype Corsiva" w:eastAsia="Times New Roman"/>
    </w:rPr>
  </w:style>
  <w:style w:type="character" w:customStyle="1" w:styleId="Character13">
    <w:name w:val="CharAttribute13"/>
    <w:rPr>
      <w:rFonts w:ascii="Times New Roman" w:eastAsia="Times New Roman"/>
      <w:sz w:val="22"/>
    </w:rPr>
  </w:style>
  <w:style w:type="character" w:customStyle="1" w:styleId="Character14">
    <w:name w:val="CharAttribute14"/>
    <w:rPr>
      <w:rFonts w:ascii="Times New Roman" w:eastAsia="Times New Roman"/>
    </w:rPr>
  </w:style>
  <w:style w:type="character" w:customStyle="1" w:styleId="Character15">
    <w:name w:val="CharAttribute15"/>
    <w:rPr>
      <w:rFonts w:ascii="Times New Roman" w:eastAsia="Times New Roman"/>
      <w:vertAlign w:val="superscript"/>
      <w:sz w:val="24"/>
    </w:rPr>
  </w:style>
  <w:style w:type="character" w:customStyle="1" w:styleId="Character16">
    <w:name w:val="CharAttribute16"/>
    <w:rPr>
      <w:rFonts w:ascii="Segoe Script" w:eastAsia="Times New Roman"/>
      <w:b/>
      <w:sz w:val="24"/>
    </w:rPr>
  </w:style>
  <w:style w:type="character" w:customStyle="1" w:styleId="Character17">
    <w:name w:val="CharAttribute17"/>
    <w:rPr>
      <w:rFonts w:ascii="Calibri" w:eastAsia="Calibri"/>
      <w:sz w:val="22"/>
    </w:rPr>
  </w:style>
  <w:style w:type="character" w:customStyle="1" w:styleId="Character18">
    <w:name w:val="CharAttribute18"/>
    <w:rPr>
      <w:rFonts w:ascii="Times New Roman" w:eastAsia="Times New Roman"/>
    </w:rPr>
  </w:style>
  <w:style w:type="character" w:customStyle="1" w:styleId="Character19">
    <w:name w:val="CharAttribute19"/>
    <w:rPr>
      <w:rFonts w:ascii="Times New Roman" w:eastAsia="Times New Roman"/>
    </w:rPr>
  </w:style>
  <w:style w:type="character" w:customStyle="1" w:styleId="Character20">
    <w:name w:val="CharAttribute20"/>
    <w:rPr>
      <w:rFonts w:ascii="Times New Roman" w:eastAsia="Times New Roman"/>
    </w:rPr>
  </w:style>
  <w:style w:type="character" w:customStyle="1" w:styleId="Character21">
    <w:name w:val="CharAttribute21"/>
    <w:rPr>
      <w:rFonts w:ascii="Times New Roman" w:eastAsia="Times New Roman"/>
    </w:rPr>
  </w:style>
  <w:style w:type="character" w:customStyle="1" w:styleId="Character22">
    <w:name w:val="CharAttribute22"/>
    <w:rPr>
      <w:rFonts w:ascii="Times New Roman" w:eastAsia="Times New Roman"/>
    </w:rPr>
  </w:style>
  <w:style w:type="character" w:customStyle="1" w:styleId="Character23">
    <w:name w:val="CharAttribute23"/>
    <w:rPr>
      <w:rFonts w:ascii="Times New Roman" w:eastAsia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numbering" Target="numbering.xm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5630</Characters>
  <CharactersWithSpaces>0</CharactersWithSpaces>
  <DocSecurity>0</DocSecurity>
  <HyperlinksChanged>false</HyperlinksChanged>
  <Lines>40</Lines>
  <LinksUpToDate>false</LinksUpToDate>
  <Pages>2</Pages>
  <Paragraphs>11</Paragraphs>
  <Words>841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ECorona</dc:creator>
  <cp:lastModifiedBy>Elsa Corona</cp:lastModifiedBy>
  <dcterms:modified xsi:type="dcterms:W3CDTF">2013-02-22T14:57:00Z</dcterms:modified>
</cp:coreProperties>
</file>