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 w:val="0"/>
          <w:i w:val="0"/>
          <w:color w:val="5B6B82"/>
          <w:sz w:val="22"/>
        </w:rPr>
        <w:t>ООО «ТехноСервис» · Проектирование и разработка программного обеспечения</w:t>
      </w:r>
    </w:p>
    <w:p>
      <w:pPr>
        <w:pStyle w:val="Heading1"/>
        <w:jc w:val="left"/>
      </w:pPr>
      <w:r>
        <w:t>Отчёт по практикам №3–№6</w:t>
      </w:r>
    </w:p>
    <w:p>
      <w:pPr>
        <w:spacing w:after="80"/>
      </w:pPr>
      <w:r>
        <w:rPr>
          <w:b w:val="0"/>
          <w:i w:val="0"/>
          <w:sz w:val="22"/>
        </w:rPr>
        <w:t>Моделирование бизнес-процессов и данных: DFD (Гейн–Сарсон), IDEF3, IDEF1X. Сквозной пример — процесс «Разработка программного обеспечения» (A0) и его декомпозиция A1–A4.</w:t>
      </w:r>
    </w:p>
    <w:p>
      <w:pPr>
        <w:spacing w:after="120"/>
      </w:pPr>
      <w:r>
        <w:rPr>
          <w:b w:val="0"/>
          <w:i w:val="0"/>
          <w:color w:val="5B6B82"/>
          <w:sz w:val="21"/>
        </w:rPr>
        <w:t>Содержание: Практика 3 — DFD уровня 0 и 1 процесса A1; Практика 4 — IDEF3 процесса A3; Практики 5–6 — логическая модель данных IDEF1X и спецификация атрибутов; приложение — DDL (sql/schema.sql).</w:t>
      </w:r>
    </w:p>
    <w:p>
      <w:pPr>
        <w:pStyle w:val="Heading2"/>
      </w:pPr>
      <w:r>
        <w:t>Практика №3. DFD в нотации Гейна–Сарсона</w:t>
      </w:r>
    </w:p>
    <w:p>
      <w:pPr>
        <w:spacing w:after="120"/>
      </w:pPr>
      <w:r>
        <w:rPr>
          <w:b w:val="0"/>
          <w:i w:val="0"/>
          <w:sz w:val="21"/>
        </w:rPr>
        <w:t>Моделируемый процесс: A1 «Анализ требований и проектирование» (декомпозиция A0 «Разработка ПО»). Внешние сущности: «Заказчик», «Технический директор». Хранилища данных появляются на уровне 1: D1 «База данных требований», D2 «Файловое хранилище (Figma / Confluence)».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835"/>
          </w:tcPr>
          <w:p>
            <w:r/>
            <w:r>
              <w:rPr>
                <w:b/>
                <w:color w:val="12325E"/>
                <w:sz w:val="17"/>
              </w:rPr>
              <w:t>Элемент нотации</w:t>
            </w:r>
          </w:p>
        </w:tc>
        <w:tc>
          <w:tcPr>
            <w:tcW w:type="dxa" w:w="3969"/>
          </w:tcPr>
          <w:p>
            <w:r/>
            <w:r>
              <w:rPr>
                <w:b/>
                <w:color w:val="12325E"/>
                <w:sz w:val="17"/>
              </w:rPr>
              <w:t>Графика</w:t>
            </w:r>
          </w:p>
        </w:tc>
        <w:tc>
          <w:tcPr>
            <w:tcW w:type="dxa" w:w="7937"/>
          </w:tcPr>
          <w:p>
            <w:r/>
            <w:r>
              <w:rPr>
                <w:b/>
                <w:color w:val="12325E"/>
                <w:sz w:val="17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Внешняя сущность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Прямоугольник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Источник/приёмник данных вне процесса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Процесс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Скруглённый прямоугольник с номером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Преобразование потоков данных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Хранилище данных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Открытый справа прямоугольник с ID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Запись/чтение накопленных данных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Поток данных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Стрелка с именем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Перемещение данных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Управляющий поток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Пунктирная стрелка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Стандарты, регламенты, договор</w:t>
            </w:r>
          </w:p>
        </w:tc>
      </w:tr>
    </w:tbl>
    <w:p>
      <w:pPr>
        <w:spacing w:after="40"/>
      </w:pPr>
    </w:p>
    <w:p>
      <w:pPr>
        <w:pStyle w:val="Heading3"/>
      </w:pPr>
      <w:r>
        <w:t>Уровень 0 (контекстная диаграмма)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48842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a1-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4884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Рис. 1 — DFD уровня 0: процесс A1, внешние сущности, потоки F01–F10</w:t>
      </w:r>
    </w:p>
    <w:p>
      <w:pPr>
        <w:pStyle w:val="Heading3"/>
      </w:pPr>
      <w:r>
        <w:t>Спецификация потоков данных (уровень 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680"/>
          </w:tcPr>
          <w:p>
            <w:r/>
            <w:r>
              <w:rPr>
                <w:b/>
                <w:color w:val="12325E"/>
                <w:sz w:val="16"/>
              </w:rPr>
              <w:t>Код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12325E"/>
                <w:sz w:val="16"/>
              </w:rPr>
              <w:t>Имя потока</w:t>
            </w:r>
          </w:p>
        </w:tc>
        <w:tc>
          <w:tcPr>
            <w:tcW w:type="dxa" w:w="1474"/>
          </w:tcPr>
          <w:p>
            <w:r/>
            <w:r>
              <w:rPr>
                <w:b/>
                <w:color w:val="12325E"/>
                <w:sz w:val="16"/>
              </w:rPr>
              <w:t>Откуда</w:t>
            </w:r>
          </w:p>
        </w:tc>
        <w:tc>
          <w:tcPr>
            <w:tcW w:type="dxa" w:w="1474"/>
          </w:tcPr>
          <w:p>
            <w:r/>
            <w:r>
              <w:rPr>
                <w:b/>
                <w:color w:val="12325E"/>
                <w:sz w:val="16"/>
              </w:rPr>
              <w:t>Куда</w:t>
            </w:r>
          </w:p>
        </w:tc>
        <w:tc>
          <w:tcPr>
            <w:tcW w:type="dxa" w:w="1247"/>
          </w:tcPr>
          <w:p>
            <w:r/>
            <w:r>
              <w:rPr>
                <w:b/>
                <w:color w:val="12325E"/>
                <w:sz w:val="16"/>
              </w:rPr>
              <w:t>Тип</w:t>
            </w:r>
          </w:p>
        </w:tc>
        <w:tc>
          <w:tcPr>
            <w:tcW w:type="dxa" w:w="6520"/>
          </w:tcPr>
          <w:p>
            <w:r/>
            <w:r>
              <w:rPr>
                <w:b/>
                <w:color w:val="12325E"/>
                <w:sz w:val="16"/>
              </w:rPr>
              <w:t>Структура данных</w:t>
            </w:r>
          </w:p>
        </w:tc>
        <w:tc>
          <w:tcPr>
            <w:tcW w:type="dxa" w:w="907"/>
          </w:tcPr>
          <w:p>
            <w:r/>
            <w:r>
              <w:rPr>
                <w:b/>
                <w:color w:val="12325E"/>
                <w:sz w:val="16"/>
              </w:rPr>
              <w:t>ИП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F01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Первичная заявка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Вход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Структурированное сообщение CRM: {ID заявки, наименование задачи, бизнес-цель, требуемые функции, сроки, бюджет, контактные лица}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1–2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F02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Уточняющие вопросы, план интервью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Выход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Текст (e-mail/мессенджер): список вопросов, дата и повестка интервью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3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F03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Ответы заказчика, исходные материалы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Вход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Текст + вложения (DOCX, XLSX, PDF): описания бизнес-процессов, примеры отчётов, доступы к системам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3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F04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Согласованное ТЗ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Выход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Документ по ГОСТ 34.602 (PDF/DOCX + подпись в ЭДО): {требования к функциям, к обеспечению, этапы, критерии приёмки}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7–9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F05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Макеты и прототипы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Выход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Графика: ссылка на проект Figma (экраны, кликабельный прототип), PDF-презентация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19–20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F06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Замечания к ТЗ и макетам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Вход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Текст/реестр замечаний: {ID, суть, приоритет, статус согласования}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3, 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F07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Проектная документация на утверждение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Технический директор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Выход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Документы: архитектура (схема компонентов, модель БД, API-контракты Swagger), ТЗ, макеты, оценка трудоёмкости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F08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Решение об утверждении / замечания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Технический директор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Вход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Статус {«утверждено» | «на доработку»} + текст замечаний, ограничения по стеку и ресурсам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9, 11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F09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Стандарты, регламенты, методики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Технический директор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Управление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Справочные данные: ГОСТ 34.602, внутренние стандарты проектирования, регламент согласования ТЗ, шаблоны документов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Договор и ограничения проекта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Управление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Документ: договор (PDF), приложения — рамки объёма работ, сроки, NDA, SLA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4</w:t>
            </w:r>
          </w:p>
        </w:tc>
      </w:tr>
    </w:tbl>
    <w:p>
      <w:pPr>
        <w:spacing w:after="40"/>
      </w:pPr>
    </w:p>
    <w:p>
      <w:pPr>
        <w:pStyle w:val="Heading3"/>
      </w:pPr>
      <w:r>
        <w:t>Уровень 1 (декомпозиция процесса A1)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655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a1-leve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65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Рис. 2 — DFD уровня 1: подпроцессы 1.1–1.3, хранилища D1–D2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680"/>
          </w:tcPr>
          <w:p>
            <w:r/>
            <w:r>
              <w:rPr>
                <w:b/>
                <w:color w:val="12325E"/>
                <w:sz w:val="17"/>
              </w:rPr>
              <w:t>№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12325E"/>
                <w:sz w:val="17"/>
              </w:rPr>
              <w:t>Подпроцесс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12325E"/>
                <w:sz w:val="17"/>
              </w:rPr>
              <w:t>Исполнитель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12325E"/>
                <w:sz w:val="17"/>
              </w:rPr>
              <w:t>Входы</w:t>
            </w:r>
          </w:p>
        </w:tc>
        <w:tc>
          <w:tcPr>
            <w:tcW w:type="dxa" w:w="3402"/>
          </w:tcPr>
          <w:p>
            <w:r/>
            <w:r>
              <w:rPr>
                <w:b/>
                <w:color w:val="12325E"/>
                <w:sz w:val="17"/>
              </w:rPr>
              <w:t>Выходы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12325E"/>
                <w:sz w:val="17"/>
              </w:rPr>
              <w:t>Узел IDEF0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1.1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Сбор требований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Бизнес-аналитик, менеджер проекта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Первичная заявка, ответы заказчика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Список требований, протоколы интервью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A11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1.2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Разработка ТЗ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Бизнес-аналитик, менеджер проекта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Список требований, протоколы, договор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ТЗ (согласованное и утверждённое)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1.3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Дизайн и проектирование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Архитектор, UX/UI-дизайнер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Согласованное ТЗ, брендбук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Архитектура, модель БД, API-контракты, макеты, прототипы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A13 + A14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680"/>
          </w:tcPr>
          <w:p>
            <w:r/>
            <w:r>
              <w:rPr>
                <w:b/>
                <w:color w:val="12325E"/>
                <w:sz w:val="17"/>
              </w:rPr>
              <w:t>ID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12325E"/>
                <w:sz w:val="17"/>
              </w:rPr>
              <w:t>Хранилище</w:t>
            </w:r>
          </w:p>
        </w:tc>
        <w:tc>
          <w:tcPr>
            <w:tcW w:type="dxa" w:w="3402"/>
          </w:tcPr>
          <w:p>
            <w:r/>
            <w:r>
              <w:rPr>
                <w:b/>
                <w:color w:val="12325E"/>
                <w:sz w:val="17"/>
              </w:rPr>
              <w:t>Реализация</w:t>
            </w:r>
          </w:p>
        </w:tc>
        <w:tc>
          <w:tcPr>
            <w:tcW w:type="dxa" w:w="7937"/>
          </w:tcPr>
          <w:p>
            <w:r/>
            <w:r>
              <w:rPr>
                <w:b/>
                <w:color w:val="12325E"/>
                <w:sz w:val="17"/>
              </w:rPr>
              <w:t>Состав данных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D1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База данных требований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Jira (Components/Requirements), реестр требований Confluence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Заявки, требования с атрибутами {ID, текст, приоритет, источник, статус, версия ТЗ}, протоколы интервью, история согласований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D2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Файловое хранилище (Figma / Confluence)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Figma, Confluence, Git (каталог /docs)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Версии ТЗ (DOCX/PDF), шаблоны и ГОСТ 34.602, макеты и прототипы Figma, схемы архитектуры (Visio/draw.io), OpenAPI-спецификации</w:t>
            </w:r>
          </w:p>
        </w:tc>
      </w:tr>
    </w:tbl>
    <w:p>
      <w:pPr>
        <w:spacing w:after="40"/>
      </w:pPr>
    </w:p>
    <w:p>
      <w:pPr>
        <w:pStyle w:val="Heading3"/>
      </w:pPr>
      <w:r>
        <w:t>Спецификация потоков данных (уровень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680"/>
          </w:tcPr>
          <w:p>
            <w:r/>
            <w:r>
              <w:rPr>
                <w:b/>
                <w:color w:val="12325E"/>
                <w:sz w:val="16"/>
              </w:rPr>
              <w:t>Код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12325E"/>
                <w:sz w:val="16"/>
              </w:rPr>
              <w:t>Имя потока</w:t>
            </w:r>
          </w:p>
        </w:tc>
        <w:tc>
          <w:tcPr>
            <w:tcW w:type="dxa" w:w="1814"/>
          </w:tcPr>
          <w:p>
            <w:r/>
            <w:r>
              <w:rPr>
                <w:b/>
                <w:color w:val="12325E"/>
                <w:sz w:val="16"/>
              </w:rPr>
              <w:t>Откуда</w:t>
            </w:r>
          </w:p>
        </w:tc>
        <w:tc>
          <w:tcPr>
            <w:tcW w:type="dxa" w:w="1814"/>
          </w:tcPr>
          <w:p>
            <w:r/>
            <w:r>
              <w:rPr>
                <w:b/>
                <w:color w:val="12325E"/>
                <w:sz w:val="16"/>
              </w:rPr>
              <w:t>Куда</w:t>
            </w:r>
          </w:p>
        </w:tc>
        <w:tc>
          <w:tcPr>
            <w:tcW w:type="dxa" w:w="1474"/>
          </w:tcPr>
          <w:p>
            <w:r/>
            <w:r>
              <w:rPr>
                <w:b/>
                <w:color w:val="12325E"/>
                <w:sz w:val="16"/>
              </w:rPr>
              <w:t>Тип</w:t>
            </w:r>
          </w:p>
        </w:tc>
        <w:tc>
          <w:tcPr>
            <w:tcW w:type="dxa" w:w="5669"/>
          </w:tcPr>
          <w:p>
            <w:r/>
            <w:r>
              <w:rPr>
                <w:b/>
                <w:color w:val="12325E"/>
                <w:sz w:val="16"/>
              </w:rPr>
              <w:t>Структура данных</w:t>
            </w:r>
          </w:p>
        </w:tc>
        <w:tc>
          <w:tcPr>
            <w:tcW w:type="dxa" w:w="907"/>
          </w:tcPr>
          <w:p>
            <w:r/>
            <w:r>
              <w:rPr>
                <w:b/>
                <w:color w:val="12325E"/>
                <w:sz w:val="16"/>
              </w:rPr>
              <w:t>ИП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Первичная заявка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1.1 Сбор требований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Сообщение CRM: {ID заявки, цель, функции, сроки, бюджет}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1–2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Уточняющие вопросы, план интервью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1.1 Сбор требований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Выход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Текст: вопросы, повестка, дата встречи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3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Ответы заказчика, исходные материалы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1.1 Сбор требований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Текст + вложения: описания процессов, отчёты, доступы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3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Список требований, протоколы интервью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1.1 Сбор требований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D1 База данных требований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Запись в хранилище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Записи реестра: {ID, формулировка, приоритет, источник, статус «черновик»}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7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Список требований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D1 База данных требований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Чтение из хранилища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Выборка записей реестра требований по проекту (атрибуты, приоритеты)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7–8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Протоколы интервью, ограничения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1.1 Сбор требований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Внутренний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Документ: протокол {участники, решения, риски, ограничения}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8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Запрос на уточнение требований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1.1 Сбор требований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Внутренний (обратная связь)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Текст: перечень противоречий и пробелов в требованиях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8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Шаблон ТЗ, ГОСТ 34.602, регламент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D2 Файловое хранилище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Чтение из хранилища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Справочные данные: шаблон документа, разделы по ГОСТ, правила нумерации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Проект ТЗ (рабочая версия)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D2 Файловое хранилище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Запись в хранилище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Файл DOCX/страница Confluence + версия (v0.1…v0.n)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ТЗ на согласование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Выход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Документ PDF/DOCX, ссылка на страницу Confluence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19–20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Замечания к ТЗ, статус согласования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Реестр замечаний {ID, раздел ТЗ, суть, статус}, письмо о согласовании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20, 24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Согласованное ТЗ (реестр требований)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D1 База данных требований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Запись в хранилище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Обновление записей: статус «согласовано», версия ТЗ, базовая линия (baseline)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f13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ТЗ и оценка на утверждение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Технический директор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Выход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Документ + оценка трудоёмкости (чел.-ч), план работ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f14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Решение об утверждении ТЗ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Технический директор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Статус {«утверждено» | «на доработку»}, ограничения по стеку и ресурсам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9, 11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f15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Методики сбора требований, регламент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Технический директор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1.1 Сбор требований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Управление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Справочные данные: регламент работ с заказчиком, шаблон протокола интервью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f16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Согласованное ТЗ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1.2 Разработка ТЗ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1.3 Дизайн и проектирование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Внутренний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Документ (базовая линия): функции, нефункциональные требования, ограничения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9–11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f17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Стандарты проектирования, брендбук, гайдлайны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Технический директор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1.3 Дизайн и проектирование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Управление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Справочные данные: архитектурные паттерны, UI-кит, требования к доступности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f18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Макеты, прототипы, схемы архитектуры, API-контракты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1.3 Дизайн и проектирование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D2 Файловое хранилище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Запись в хранилище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Проект Figma, схемы (draw.io/Visio), спецификация OpenAPI (YAML), модель БД (DDL)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9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f19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Макеты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1.3 Дизайн и проектирование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Выход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Ссылка на Figma (кликабельный прототип), PDF-презентация экранов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19–20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f20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Замечания к макетам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1.3 Дизайн и проектирование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Комментарии в Figma {экран, элемент, суть}, реестр правок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20, 24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f21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Пакет проектной документации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1.3 Дизайн и проектирование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Технический директор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Выход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Архитектура + модель БД + API-контракты + макеты: основание для постановки задач A2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9, 11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6"/>
              </w:rPr>
              <w:t>f22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Согласованное ТЗ, макеты, архитектура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1.3 Дизайн и проектирование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A2 «Разработка кода» (процесс-приёмник)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Выход за границу декомпозиции</w:t>
            </w:r>
          </w:p>
        </w:tc>
        <w:tc>
          <w:tcPr>
            <w:tcW w:type="dxa" w:w="5669"/>
          </w:tcPr>
          <w:p>
            <w:r/>
            <w:r>
              <w:rPr>
                <w:sz w:val="16"/>
              </w:rPr>
              <w:t>Базовая линия проекта: ТЗ v1.0, макеты Figma, спецификация API, модель БД</w:t>
            </w:r>
          </w:p>
        </w:tc>
        <w:tc>
          <w:tcPr>
            <w:tcW w:type="dxa" w:w="907"/>
          </w:tcPr>
          <w:p>
            <w:r/>
            <w:r>
              <w:rPr>
                <w:sz w:val="16"/>
              </w:rPr>
              <w:t>ИП 11</w:t>
            </w:r>
          </w:p>
        </w:tc>
      </w:tr>
    </w:tbl>
    <w:p>
      <w:pPr>
        <w:spacing w:after="40"/>
      </w:pPr>
    </w:p>
    <w:p>
      <w:pPr>
        <w:pStyle w:val="Heading3"/>
      </w:pPr>
      <w:r>
        <w:t>Балансировка и проверка модели</w:t>
      </w:r>
    </w:p>
    <w:p>
      <w:pPr>
        <w:spacing w:after="60"/>
      </w:pPr>
      <w:r>
        <w:rPr>
          <w:b w:val="0"/>
          <w:i w:val="0"/>
          <w:sz w:val="20"/>
        </w:rPr>
        <w:t>1. Балансировка с IDEF0: входы A1 («Требования заказчика») представлены потоками f1, f3, f11, f20; выходы A1 («ТЗ, проектная документация, макеты») — потоками f4/f10/f19/f21/f22; управление («Договор, стандарты») — потоками f8, f15, f17; механизм («Аналитик, архитектор, дизайнер») в DFD не изображается — роли вынесены в атрибут `Исполнитель` подпроцессов.</w:t>
      </w:r>
    </w:p>
    <w:p>
      <w:pPr>
        <w:spacing w:after="60"/>
      </w:pPr>
      <w:r>
        <w:rPr>
          <w:b w:val="0"/>
          <w:i w:val="0"/>
          <w:sz w:val="20"/>
        </w:rPr>
        <w:t>2. Подпроцессы IDEF0 A13 «Проектирование архитектуры» и A14 «Дизайн UI/UX» объединены в одном процессе DFD 1.3 «Дизайн и проектирование»: по заданию практики на уровне 1 требуется три подпроцесса, а оба этих вида работ используют одно хранилище (Figma/Confluence) и одного внешнего адресата (технический директор).</w:t>
      </w:r>
    </w:p>
    <w:p>
      <w:pPr>
        <w:spacing w:after="60"/>
      </w:pPr>
      <w:r>
        <w:rPr>
          <w:b w:val="0"/>
          <w:i w:val="0"/>
          <w:sz w:val="20"/>
        </w:rPr>
        <w:t>3. Проверка на «чёрные дыры» и «чудеса»: у каждого подпроцесса есть хотя бы один входящий и один исходящий поток (1.1: f1,f3,f15 → f2,f4,f6; 1.2: f5,f6,f8,f11,f14,f16 → f7,f9,f10,f12,f13; 1.3: f16,f17,f20 → f18,f19,f21,f22).</w:t>
      </w:r>
    </w:p>
    <w:p>
      <w:pPr>
        <w:spacing w:after="60"/>
      </w:pPr>
      <w:r>
        <w:rPr>
          <w:b w:val="0"/>
          <w:i w:val="0"/>
          <w:sz w:val="20"/>
        </w:rPr>
        <w:t>4. Хранилище D1 используется в режиме «запись → чтение» (f4 → f5, f12), D2 — и как источник шаблонов (f8), и как архив результатов (f9, f18): потоки к хранилищу направлены в обе стороны, что соответствует правилам Гейна–Сарсона.</w:t>
      </w:r>
    </w:p>
    <w:p>
      <w:pPr>
        <w:spacing w:after="60"/>
      </w:pPr>
      <w:r>
        <w:rPr>
          <w:b w:val="0"/>
          <w:i w:val="0"/>
          <w:sz w:val="20"/>
        </w:rPr>
        <w:t>5. Процесс-приёмник «A2 Разработка кода» показан пунктирной рамкой: он лежит за границей рассматриваемой декомпозиции, но обязателен для балансировки выхода уровня 0.</w:t>
      </w:r>
    </w:p>
    <w:p>
      <w:r>
        <w:br w:type="page"/>
      </w:r>
    </w:p>
    <w:p>
      <w:pPr>
        <w:pStyle w:val="Heading2"/>
      </w:pPr>
      <w:r>
        <w:t>Практика №4. IDEF3: диаграмма потока работ процесса A3</w:t>
      </w:r>
    </w:p>
    <w:p>
      <w:pPr>
        <w:spacing w:after="120"/>
      </w:pPr>
      <w:r>
        <w:rPr>
          <w:b w:val="0"/>
          <w:i w:val="0"/>
          <w:sz w:val="21"/>
        </w:rPr>
        <w:t>Процесс A3 «Тестирование и контроль качества» выбран как содержащий ветвления и цикл возврата дефектов на исправление: линейная DFD такую логику не выражает.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5626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-a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5626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Рис. 3 — IDEF3: UOB 1–5, перекрёстки J1–J4 (&amp; и ≥1), объекты ссылок</w:t>
      </w:r>
    </w:p>
    <w:p>
      <w:pPr>
        <w:pStyle w:val="Heading3"/>
      </w:pPr>
      <w:r>
        <w:t>Спецификация единиц поведения (UOB)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46"/>
        <w:gridCol w:w="2146"/>
        <w:gridCol w:w="2146"/>
        <w:gridCol w:w="2146"/>
        <w:gridCol w:w="2146"/>
        <w:gridCol w:w="2146"/>
        <w:gridCol w:w="2146"/>
      </w:tblGrid>
      <w:tr>
        <w:tc>
          <w:tcPr>
            <w:tcW w:type="dxa" w:w="567"/>
          </w:tcPr>
          <w:p>
            <w:r/>
            <w:r>
              <w:rPr>
                <w:b/>
                <w:color w:val="12325E"/>
                <w:sz w:val="17"/>
              </w:rPr>
              <w:t>№</w:t>
            </w:r>
          </w:p>
        </w:tc>
        <w:tc>
          <w:tcPr>
            <w:tcW w:type="dxa" w:w="2835"/>
          </w:tcPr>
          <w:p>
            <w:r/>
            <w:r>
              <w:rPr>
                <w:b/>
                <w:color w:val="12325E"/>
                <w:sz w:val="17"/>
              </w:rPr>
              <w:t>UOB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12325E"/>
                <w:sz w:val="17"/>
              </w:rPr>
              <w:t>Исполнитель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12325E"/>
                <w:sz w:val="17"/>
              </w:rPr>
              <w:t>Триггер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12325E"/>
                <w:sz w:val="17"/>
              </w:rPr>
              <w:t>Вход</w:t>
            </w:r>
          </w:p>
        </w:tc>
        <w:tc>
          <w:tcPr>
            <w:tcW w:type="dxa" w:w="2551"/>
          </w:tcPr>
          <w:p>
            <w:r/>
            <w:r>
              <w:rPr>
                <w:b/>
                <w:color w:val="12325E"/>
                <w:sz w:val="17"/>
              </w:rPr>
              <w:t>Выход</w:t>
            </w:r>
          </w:p>
        </w:tc>
        <w:tc>
          <w:tcPr>
            <w:tcW w:type="dxa" w:w="1417"/>
          </w:tcPr>
          <w:p>
            <w:r/>
            <w:r>
              <w:rPr>
                <w:b/>
                <w:color w:val="12325E"/>
                <w:sz w:val="17"/>
              </w:rPr>
              <w:t>IDEF0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Ручное тестирование релиз-кандидата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QA-инженер (Jira, TestRail)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Завершена сборка A24 (CI/CD)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Релиз-кандидат, тест-кейсы, чек-листы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Пройденные/не пройденные тест-кейсы, баг-репорты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A31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Автоматизированное тестирование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QA-автоматизатор (PyTest, Selenium)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Завершена сборка A24 (CI/CD)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Релиз-кандидат, набор автотестов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Результаты прогона (Allure/JUnit-отчёт), покрытие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A32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Исправление багов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Разработчик (Git, code review A24)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Активирована ветвь «баги найдены» перекрёстка J1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Баг-репорты со статусом «Открыт»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Исправленная сборка, комментарии в баг-репортах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A2 / A24 (возврат)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Регрессионное тестирование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QA-инженер + автотесты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Завершено UOB 3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Исправленная сборка, регрессионный набор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Подтверждение стабильности либо новые баг-репорты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A33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Составление отчёта о качестве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QA-лид, менеджер проекта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Багов нет (J1) либо регрессия пройдена (J4)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Результаты тестов, метрики, закрытые баг-репорты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Отчёт о качестве, решение о передаче в A4 «Внедрение и сдача»</w:t>
            </w:r>
          </w:p>
        </w:tc>
        <w:tc>
          <w:tcPr>
            <w:tcW w:type="dxa" w:w="1417"/>
          </w:tcPr>
          <w:p>
            <w:r/>
            <w:r>
              <w:rPr>
                <w:sz w:val="17"/>
              </w:rPr>
              <w:t>A34</w:t>
            </w:r>
          </w:p>
        </w:tc>
      </w:tr>
    </w:tbl>
    <w:p>
      <w:pPr>
        <w:spacing w:after="40"/>
      </w:pPr>
    </w:p>
    <w:p>
      <w:pPr>
        <w:pStyle w:val="Heading3"/>
      </w:pPr>
      <w:r>
        <w:t>Перекрёстки: типы и обоснование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680"/>
          </w:tcPr>
          <w:p>
            <w:r/>
            <w:r>
              <w:rPr>
                <w:b/>
                <w:color w:val="12325E"/>
                <w:sz w:val="17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b/>
                <w:color w:val="12325E"/>
                <w:sz w:val="17"/>
              </w:rPr>
              <w:t>Тип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12325E"/>
                <w:sz w:val="17"/>
              </w:rPr>
              <w:t>Режим</w:t>
            </w:r>
          </w:p>
        </w:tc>
        <w:tc>
          <w:tcPr>
            <w:tcW w:type="dxa" w:w="2041"/>
          </w:tcPr>
          <w:p>
            <w:r/>
            <w:r>
              <w:rPr>
                <w:b/>
                <w:color w:val="12325E"/>
                <w:sz w:val="17"/>
              </w:rPr>
              <w:t>Место</w:t>
            </w:r>
          </w:p>
        </w:tc>
        <w:tc>
          <w:tcPr>
            <w:tcW w:type="dxa" w:w="2608"/>
          </w:tcPr>
          <w:p>
            <w:r/>
            <w:r>
              <w:rPr>
                <w:b/>
                <w:color w:val="12325E"/>
                <w:sz w:val="17"/>
              </w:rPr>
              <w:t>Связи</w:t>
            </w:r>
          </w:p>
        </w:tc>
        <w:tc>
          <w:tcPr>
            <w:tcW w:type="dxa" w:w="5669"/>
          </w:tcPr>
          <w:p>
            <w:r/>
            <w:r>
              <w:rPr>
                <w:b/>
                <w:color w:val="12325E"/>
                <w:sz w:val="17"/>
              </w:rPr>
              <w:t>Обоснование выбора типа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J3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Синхронное И (&amp;)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fan-out (разветвление)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После поступления релиз-кандидата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 вход ← «Релиз-кандидат готов»; 2 выхода → UOB 1 и UOB 2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Оба вида тестирования должны быть запущены по одному и тому же событию — появлению релиз-кандидата. Синхронность гарантирует, что ни одна ветвь не начнётся без активации другой: проверяется одна и та же сборка.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J2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Синхронное И (&amp;)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fan-in (слияние)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После UOB 1 и UOB 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2 входа ← UOB 1, UOB 2; 1 выход → J1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Отчёт и решение о качестве принимаются только тогда, когда завершены ОБА вида тестирования. Перекрёсток &amp; блокирует дальнейший ход работ, пока не пришли оба входящих потока: иначе решение принималось бы по неполным данным (классическая ошибка — пропустить регрессию автотестов).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J1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Асинхронное ИЛИ (≥1)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fan-out (разветвление)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После слияния результатов тестирования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 вход ← J2; 2 выхода → «баги найдены» (UOB 3) и «багов нет» (UOB 5)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Условие «баг найден / багов нет» — логический выбор ветви, а не ожидание событий: достаточно активации хотя бы одной ветви. Асинхронность (≥1) допускает и одновременную активацию обеих ветвей, что соответствует практике: часть дефектов уходит в исправление (UOB 3), а по стабильным модулям уже готовится сводный отчёт (UOB 5). Строго взаимоисключающий вариант описывался бы перекрёстком X (XOR), но он запрещал бы параллельную работу QA и разработчиков, поэтому по заданию выбран OR.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J4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Асинхронное ИЛИ (≥1)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fan-out + возвратная связь (fan-in)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После UOB 4 «Регрессионное тестирование»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 вход ← UOB 4; 2 выхода → «регрессия пройдена» (UOB 5) и «найдены новые баги» (возврат в UOB 3)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Зацикливание процесса: если правка сломала ранее работавший функционал, поток возвращается в UOB 3. Перекрёсток асинхронный, потому что цикл «исправление → регрессия» может выполняться несколько раз без ожидания других ветвей; ограничение числа итераций задаётся не моделью, а SLA и критериями качества (регламент A3).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0"/>
        </w:rPr>
        <w:t>Правило выбора: синхронный перекрёсток (&amp;) требует прихода всех входящих связей (fan-in) или одновременно активирует все выходы (fan-out) — используется, когда работы выполняются над одним объектом и решение принимается по полному набору результатов (J3, J2). Асинхронный перекрёсток (≥1) активируется хотя бы одной связью и допускает параллельные ветви и циклы возврата (J1, J4). Взаимоисключающее ИЛИ (X) не применялось: оно запретило бы параллельную работу ветвей «исправление дефектов» и «подготовка отчёта».</w:t>
      </w:r>
    </w:p>
    <w:p>
      <w:pPr>
        <w:pStyle w:val="Heading3"/>
      </w:pPr>
      <w:r>
        <w:t>Объекты ссылок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08"/>
        <w:gridCol w:w="5008"/>
        <w:gridCol w:w="5008"/>
      </w:tblGrid>
      <w:tr>
        <w:tc>
          <w:tcPr>
            <w:tcW w:type="dxa" w:w="2835"/>
          </w:tcPr>
          <w:p>
            <w:r/>
            <w:r>
              <w:rPr>
                <w:b/>
                <w:color w:val="12325E"/>
                <w:sz w:val="17"/>
              </w:rPr>
              <w:t>Объект ссылки</w:t>
            </w:r>
          </w:p>
        </w:tc>
        <w:tc>
          <w:tcPr>
            <w:tcW w:type="dxa" w:w="7370"/>
          </w:tcPr>
          <w:p>
            <w:r/>
            <w:r>
              <w:rPr>
                <w:b/>
                <w:color w:val="12325E"/>
                <w:sz w:val="17"/>
              </w:rPr>
              <w:t>Содержание</w:t>
            </w:r>
          </w:p>
        </w:tc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Связан с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ТЗ (ГОСТ 34.602)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Эталон ожидаемого поведения системы; источник критериев приёмки для UOB 1, 4, 5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UOB 1, UOB 4, UOB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Релиз-кандидат (сборка)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Объект проверки, результат A24 «Code review и сборка»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J3 → UOB 1, UOB 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Тест-кейсы и чек-листы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Хранилище TestRail: сценарии, ожидаемые результаты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UOB 1, UOB 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Баг-репорт (Jira)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Дефект {шаги, ожидаемо/фактически, серьёзность, приоритет}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UOB 1, UOB 2 → J1 → UOB 3 → UOB 4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Отчёт о качестве</w:t>
            </w:r>
          </w:p>
        </w:tc>
        <w:tc>
          <w:tcPr>
            <w:tcW w:type="dxa" w:w="7370"/>
          </w:tcPr>
          <w:p>
            <w:r/>
            <w:r>
              <w:rPr>
                <w:sz w:val="17"/>
              </w:rPr>
              <w:t>Итоговый документ A3: метрики, остаточные риски, решение о передаче в A4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UOB 5 → процесс A4</w:t>
            </w:r>
          </w:p>
        </w:tc>
      </w:tr>
    </w:tbl>
    <w:p>
      <w:pPr>
        <w:spacing w:after="40"/>
      </w:pPr>
    </w:p>
    <w:p>
      <w:pPr>
        <w:pStyle w:val="Heading3"/>
      </w:pPr>
      <w:r>
        <w:t>Сценарии выполнения процесса</w:t>
      </w:r>
    </w:p>
    <w:p>
      <w:pPr>
        <w:spacing w:after="80"/>
      </w:pPr>
      <w:r>
        <w:rPr>
          <w:b w:val="0"/>
          <w:i w:val="0"/>
          <w:sz w:val="20"/>
        </w:rPr>
        <w:t>Сценарий 1 — «чистая сборка». Релиз-кандидат → J3 (&amp;) запускает UOB 1 и UOB 2 параллельно → оба завершены, J2 (&amp;) разблокирует продолжение → J1 (≥1) активирует ветвь «багов нет» → UOB 5: отчёт о качестве, процесс A3 завершён, продукт передаётся в A4.</w:t>
      </w:r>
    </w:p>
    <w:p>
      <w:pPr>
        <w:spacing w:after="80"/>
      </w:pPr>
      <w:r>
        <w:rPr>
          <w:b w:val="0"/>
          <w:i w:val="0"/>
          <w:sz w:val="20"/>
        </w:rPr>
        <w:t>Сценарий 2 — «найден дефект». J3 (&amp;) → UOB 1 находит баг, UOB 2 проходит → J2 (&amp;) ждёт завершения обоих → J1 (≥1) активирует ветвь «баги найдены» → UOB 3 (разработчик исправляет) → UOB 4 (регрессия) → J4 (≥1): ветвь «регрессия пройдена» → UOB 5 → завершение.</w:t>
      </w:r>
    </w:p>
    <w:p>
      <w:pPr>
        <w:spacing w:after="80"/>
      </w:pPr>
      <w:r>
        <w:rPr>
          <w:b w:val="0"/>
          <w:i w:val="0"/>
          <w:sz w:val="20"/>
        </w:rPr>
        <w:t>Сценарий 3 — «регрессия не пройдена» (цикл). После UOB 4 перекрёсток J4 (≥1) возвращает поток в UOB 3: цикл «исправление → регрессия» повторяется до выполнения критериев качества (0 открытых дефектов серьёзности Critical/Blocker, покрытие автотестами ≥ 70 %). Модель IDEF3 допускает такое ветвление с возвратом, в отличие от линейной DFD.</w:t>
      </w:r>
    </w:p>
    <w:p>
      <w:r>
        <w:br w:type="page"/>
      </w:r>
    </w:p>
    <w:p>
      <w:pPr>
        <w:pStyle w:val="Heading2"/>
      </w:pPr>
      <w:r>
        <w:t>Практики №5–6. IDEF1X: логическая модель данных</w:t>
      </w:r>
    </w:p>
    <w:p>
      <w:pPr>
        <w:spacing w:after="120"/>
      </w:pPr>
      <w:r>
        <w:rPr>
          <w:b w:val="0"/>
          <w:i w:val="0"/>
          <w:sz w:val="21"/>
        </w:rPr>
        <w:t>Предметная область «Управление проектами разработки ПО»: данные процессов A0–A4 и информационных потоков ИП 1–25. Восемь сущностей; идентифицирующие связи делают потомков зависимыми (скруглённые углы, FK в составе PK), неидентифицирующие — допускают NULL; связь ДОГОВОР↔ПРОЕКТ — 1:1.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80000" cy="6281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1x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628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B6B82"/>
          <w:sz w:val="18"/>
        </w:rPr>
        <w:t>Рис. 4 — IDEF1X: сущности E1–E8, PK/FK, связи «гусиная лапка»</w:t>
      </w:r>
    </w:p>
    <w:p>
      <w:pPr>
        <w:pStyle w:val="Heading3"/>
      </w:pPr>
      <w:r>
        <w:t>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680"/>
          </w:tcPr>
          <w:p>
            <w:r/>
            <w:r>
              <w:rPr>
                <w:b/>
                <w:color w:val="12325E"/>
                <w:sz w:val="17"/>
              </w:rPr>
              <w:t>№</w:t>
            </w:r>
          </w:p>
        </w:tc>
        <w:tc>
          <w:tcPr>
            <w:tcW w:type="dxa" w:w="2268"/>
          </w:tcPr>
          <w:p>
            <w:r/>
            <w:r>
              <w:rPr>
                <w:b/>
                <w:color w:val="12325E"/>
                <w:sz w:val="17"/>
              </w:rPr>
              <w:t>Сущность</w:t>
            </w:r>
          </w:p>
        </w:tc>
        <w:tc>
          <w:tcPr>
            <w:tcW w:type="dxa" w:w="1984"/>
          </w:tcPr>
          <w:p>
            <w:r/>
            <w:r>
              <w:rPr>
                <w:b/>
                <w:color w:val="12325E"/>
                <w:sz w:val="17"/>
              </w:rPr>
              <w:t>Тип</w:t>
            </w:r>
          </w:p>
        </w:tc>
        <w:tc>
          <w:tcPr>
            <w:tcW w:type="dxa" w:w="9638"/>
          </w:tcPr>
          <w:p>
            <w:r/>
            <w:r>
              <w:rPr>
                <w:b/>
                <w:color w:val="12325E"/>
                <w:sz w:val="17"/>
              </w:rPr>
              <w:t>Комментарий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E1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ЗАКАЗЧИК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независимая</w:t>
            </w:r>
          </w:p>
        </w:tc>
        <w:tc>
          <w:tcPr>
            <w:tcW w:type="dxa" w:w="9638"/>
          </w:tcPr>
          <w:p>
            <w:r/>
            <w:r>
              <w:rPr>
                <w:sz w:val="17"/>
              </w:rPr>
              <w:t>Независимая (independent) сущность: существует без других сущностей модели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ПРОЕКТ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зависимая</w:t>
            </w:r>
          </w:p>
        </w:tc>
        <w:tc>
          <w:tcPr>
            <w:tcW w:type="dxa" w:w="9638"/>
          </w:tcPr>
          <w:p>
            <w:r/>
            <w:r>
              <w:rPr>
                <w:sz w:val="17"/>
              </w:rPr>
              <w:t>Зависимая (dependent) сущность: идентифицирующая связь от «Заказчик»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ДОГОВОР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независимая</w:t>
            </w:r>
          </w:p>
        </w:tc>
        <w:tc>
          <w:tcPr>
            <w:tcW w:type="dxa" w:w="9638"/>
          </w:tcPr>
          <w:p>
            <w:r/>
            <w:r>
              <w:rPr>
                <w:sz w:val="17"/>
              </w:rPr>
              <w:t>Связь 1:1 с проектом, неидентифицирующая: у договора собственный первичный ключ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E4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СОТРУДНИК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независимая</w:t>
            </w:r>
          </w:p>
        </w:tc>
        <w:tc>
          <w:tcPr>
            <w:tcW w:type="dxa" w:w="9638"/>
          </w:tcPr>
          <w:p>
            <w:r/>
            <w:r>
              <w:rPr>
                <w:sz w:val="17"/>
              </w:rPr>
              <w:t>Независимая сущность: ресурс компании (механизмы IDEF0 A1…A4)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E5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ЗАДАЧА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зависимая</w:t>
            </w:r>
          </w:p>
        </w:tc>
        <w:tc>
          <w:tcPr>
            <w:tcW w:type="dxa" w:w="9638"/>
          </w:tcPr>
          <w:p>
            <w:r/>
            <w:r>
              <w:rPr>
                <w:sz w:val="17"/>
              </w:rPr>
              <w:t>Зависимая сущность: идентифицирующая связь от «Проект», неидентифицирующая — от «Сотрудник» (исполнитель)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E6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ТЕСТ_КЕЙС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зависимая</w:t>
            </w:r>
          </w:p>
        </w:tc>
        <w:tc>
          <w:tcPr>
            <w:tcW w:type="dxa" w:w="9638"/>
          </w:tcPr>
          <w:p>
            <w:r/>
            <w:r>
              <w:rPr>
                <w:sz w:val="17"/>
              </w:rPr>
              <w:t>Зависимая сущность: идентифицирующая связь от «Задача»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E7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БАГ_РЕПОРТ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зависимая</w:t>
            </w:r>
          </w:p>
        </w:tc>
        <w:tc>
          <w:tcPr>
            <w:tcW w:type="dxa" w:w="9638"/>
          </w:tcPr>
          <w:p>
            <w:r/>
            <w:r>
              <w:rPr>
                <w:sz w:val="17"/>
              </w:rPr>
              <w:t>Зависимая сущность: идентифицирующая связь от «Тест-кейс»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E8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ДОКУМЕНТ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независимая</w:t>
            </w:r>
          </w:p>
        </w:tc>
        <w:tc>
          <w:tcPr>
            <w:tcW w:type="dxa" w:w="9638"/>
          </w:tcPr>
          <w:p>
            <w:r/>
            <w:r>
              <w:rPr>
                <w:sz w:val="17"/>
              </w:rPr>
              <w:t>Неидентифицирующие связи с «Проект» и «Сотрудник»: документ хранит ссылку во внешнем хранилище (D2) и может существовать в реестре самостоятельно</w:t>
            </w:r>
          </w:p>
        </w:tc>
      </w:tr>
    </w:tbl>
    <w:p>
      <w:pPr>
        <w:spacing w:after="40"/>
      </w:pPr>
    </w:p>
    <w:p>
      <w:pPr>
        <w:pStyle w:val="Heading3"/>
      </w:pPr>
      <w:r>
        <w:t>Связи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04"/>
        <w:gridCol w:w="2504"/>
        <w:gridCol w:w="2504"/>
        <w:gridCol w:w="2504"/>
        <w:gridCol w:w="2504"/>
        <w:gridCol w:w="2504"/>
      </w:tblGrid>
      <w:tr>
        <w:tc>
          <w:tcPr>
            <w:tcW w:type="dxa" w:w="1701"/>
          </w:tcPr>
          <w:p>
            <w:r/>
            <w:r>
              <w:rPr>
                <w:b/>
                <w:color w:val="12325E"/>
                <w:sz w:val="17"/>
              </w:rPr>
              <w:t>Родитель</w:t>
            </w:r>
          </w:p>
        </w:tc>
        <w:tc>
          <w:tcPr>
            <w:tcW w:type="dxa" w:w="1701"/>
          </w:tcPr>
          <w:p>
            <w:r/>
            <w:r>
              <w:rPr>
                <w:b/>
                <w:color w:val="12325E"/>
                <w:sz w:val="17"/>
              </w:rPr>
              <w:t>Потомок</w:t>
            </w:r>
          </w:p>
        </w:tc>
        <w:tc>
          <w:tcPr>
            <w:tcW w:type="dxa" w:w="907"/>
          </w:tcPr>
          <w:p>
            <w:r/>
            <w:r>
              <w:rPr>
                <w:b/>
                <w:color w:val="12325E"/>
                <w:sz w:val="17"/>
              </w:rPr>
              <w:t>Кард.</w:t>
            </w:r>
          </w:p>
        </w:tc>
        <w:tc>
          <w:tcPr>
            <w:tcW w:type="dxa" w:w="1474"/>
          </w:tcPr>
          <w:p>
            <w:r/>
            <w:r>
              <w:rPr>
                <w:b/>
                <w:color w:val="12325E"/>
                <w:sz w:val="17"/>
              </w:rPr>
              <w:t>Тип связи</w:t>
            </w:r>
          </w:p>
        </w:tc>
        <w:tc>
          <w:tcPr>
            <w:tcW w:type="dxa" w:w="3402"/>
          </w:tcPr>
          <w:p>
            <w:r/>
            <w:r>
              <w:rPr>
                <w:b/>
                <w:color w:val="12325E"/>
                <w:sz w:val="17"/>
              </w:rPr>
              <w:t>FK</w:t>
            </w:r>
          </w:p>
        </w:tc>
        <w:tc>
          <w:tcPr>
            <w:tcW w:type="dxa" w:w="5669"/>
          </w:tcPr>
          <w:p>
            <w:r/>
            <w:r>
              <w:rPr>
                <w:b/>
                <w:color w:val="12325E"/>
                <w:sz w:val="17"/>
              </w:rPr>
              <w:t>Бизнес-правило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ЗАКАЗЧИК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ПРОЕКТ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ПРОЕКТ.ID_Заказчика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Один заказчик может иметь несколько проектов; каждый проект принадлежит ровно одному заказчику. Связь идентифицирующая: PK заказчика входит в PK проекта, сущность «ПРОЕКТ» становится зависимой (скруглённые углы).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ПРОЕКТ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ДОГОВОР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1:1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неидентиф.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ДОГОВОР.ID_Проекта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На каждый проект оформляется ровно один действующий договор (ИП 4). Связь неидентифицирующая: у договора собственный суррогатный PK, поэтому «ДОГОВОР» остаётся независимой сущностью (прямые углы).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СОТРУДНИК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ПРОЕКТ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неидентиф.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ПРОЕКТ.ID_Менеджера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Сотрудник (PM) ведёт несколько проектов; проект может временно оставаться без назначенного менеджера (NULL) — связь неидентифицирующая и необязательная.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ПРОЕКТ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ЗАДАЧА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ЗАДАЧА.(ID_Заказчика, ID_Проекта)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Проект декомпозируется на задачи (ИП 11); задача без проекта не существует (удаление проекта каскадно удаляет задачи) — идентифицирующая связь.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СОТРУДНИК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ЗАДАЧА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неидентиф.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ЗАДАЧА.ID_Исполнителя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Разработчик/QA/аналитик выполняет много задач; исполнитель может быть не назначен (задача в бэклоге) и может смениться — ключ задачи при этом не меняется.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ЗАДАЧА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ТЕСТ_КЕЙС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ТЕСТ_КЕЙС.(ID_Заказчика, ID_Проекта, ID_Задачи)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На задачу пишется несколько тест-кейсов (ИП 17); тест-кейс идентифицируется через задачу, поэтому связь идентифицирующая.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СОТРУДНИК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ТЕСТ_КЕЙС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неидентиф.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ТЕСТ_КЕЙС.ID_Тестировщика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Тестировщик выполняет много проверок; для автотестов исполнитель может быть не указан (NULL).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ТЕСТ_КЕЙС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БАГ_РЕПОРТ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БАГ_РЕПОРТ.(ID_Заказчика, ID_Проекта, ID_Задачи, ID_Тест_кейса)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Одна проверка может дать несколько дефектов (в т.ч. при повторных прогонах); баг-репорт не существует без тест-кейса (ИП 17–18).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СОТРУДНИК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БАГ_РЕПОРТ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неидентиф.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БАГ_РЕПОРТ.ID_Разработчика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Разработчик исправляет множество дефектов (UOB 3 IDEF3); до назначения исполнителя значение NULL.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ПРОЕКТ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ДОКУМЕНТ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неидентиф.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ДОКУМЕНТ.ID_Проекта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Проект сопровождается пакетом документов (ТЗ, макеты, акты, счета — ИП 4, 9, 21–23); существуют и надпроектные документы (стандарты компании) — отсюда NULL и неидентифицирующая связь.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7"/>
              </w:rPr>
              <w:t>СОТРУДНИК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ДОКУМЕНТ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1:M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неидентиф.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ДОКУМЕНТ.ID_Автора</w:t>
            </w:r>
          </w:p>
        </w:tc>
        <w:tc>
          <w:tcPr>
            <w:tcW w:type="dxa" w:w="5669"/>
          </w:tcPr>
          <w:p>
            <w:r/>
            <w:r>
              <w:rPr>
                <w:sz w:val="17"/>
              </w:rPr>
              <w:t>Сотрудник является автором многих документов; авторство может быть не определено для внешних документов (например, ГОСТ).</w:t>
            </w:r>
          </w:p>
        </w:tc>
      </w:tr>
    </w:tbl>
    <w:p>
      <w:pPr>
        <w:spacing w:after="40"/>
      </w:pPr>
    </w:p>
    <w:p>
      <w:pPr>
        <w:pStyle w:val="Heading3"/>
      </w:pPr>
      <w:r>
        <w:t>Спецификация атрибутов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5"/>
        <w:gridCol w:w="3005"/>
        <w:gridCol w:w="3005"/>
        <w:gridCol w:w="3005"/>
        <w:gridCol w:w="3005"/>
      </w:tblGrid>
      <w:tr>
        <w:tc>
          <w:tcPr>
            <w:tcW w:type="dxa" w:w="1814"/>
          </w:tcPr>
          <w:p>
            <w:r/>
            <w:r>
              <w:rPr>
                <w:b/>
                <w:color w:val="12325E"/>
                <w:sz w:val="16"/>
              </w:rPr>
              <w:t>Сущность</w:t>
            </w:r>
          </w:p>
        </w:tc>
        <w:tc>
          <w:tcPr>
            <w:tcW w:type="dxa" w:w="2381"/>
          </w:tcPr>
          <w:p>
            <w:r/>
            <w:r>
              <w:rPr>
                <w:b/>
                <w:color w:val="12325E"/>
                <w:sz w:val="16"/>
              </w:rPr>
              <w:t>Атрибут</w:t>
            </w:r>
          </w:p>
        </w:tc>
        <w:tc>
          <w:tcPr>
            <w:tcW w:type="dxa" w:w="1814"/>
          </w:tcPr>
          <w:p>
            <w:r/>
            <w:r>
              <w:rPr>
                <w:b/>
                <w:color w:val="12325E"/>
                <w:sz w:val="16"/>
              </w:rPr>
              <w:t>Тип данных</w:t>
            </w:r>
          </w:p>
        </w:tc>
        <w:tc>
          <w:tcPr>
            <w:tcW w:type="dxa" w:w="1814"/>
          </w:tcPr>
          <w:p>
            <w:r/>
            <w:r>
              <w:rPr>
                <w:b/>
                <w:color w:val="12325E"/>
                <w:sz w:val="16"/>
              </w:rPr>
              <w:t>Ограничения</w:t>
            </w:r>
          </w:p>
        </w:tc>
        <w:tc>
          <w:tcPr>
            <w:tcW w:type="dxa" w:w="6803"/>
          </w:tcPr>
          <w:p>
            <w:r/>
            <w:r>
              <w:rPr>
                <w:b/>
                <w:color w:val="12325E"/>
                <w:sz w:val="16"/>
              </w:rPr>
              <w:t>Описание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ID_Заказчика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Первичный ключ, автоинкремент (суррогатный ключ)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Название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Полное наименование организации или ФИО физлица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ИНН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CHAR(10/12)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Идентификационный номер налогоплательщика; UNIQUE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Тип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CHAR(10)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{юрлицо, ИП, физлицо}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Контактное_лицо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VARCHAR(120)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ФИО представителя (ИП 1, ИП 21 — подписание акта)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Телефон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Контактный телефон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ЗАКАЗЧИК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VARCHAR(120)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Электронная почта для документооборота (ИП 22)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ПРОЕКТ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ID_Заказчика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ЗАКАЗЧИК.ID_Заказчика; входит в составной PK (идентифицирующая связь)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ПРОЕКТ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ID_Проекта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Часть составного первичного ключа (номер проекта в рамках заказчика)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ПРОЕКТ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Название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Наименование проекта (ИП 1–2)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ПРОЕКТ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Дата_старта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Дата начала работ по договору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ПРОЕКТ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Дата_окончания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Плановая/фактическая дата сдачи (ИП 21)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ПРОЕКТ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Бюджет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DECIMAL(12,2)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Стоимость работ, RUB; CHECK (Бюджет &gt;= 0)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ПРОЕКТ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Статус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{анализ, разработка, тестирование, внедрение, закрыт} — соответствие A1…A4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ПРОЕКТ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ID_Менеджера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FK,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СОТРУДНИК.ID_Сотрудника; PM проекта (неидентифицирующая связь)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ДОГОВОР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ID_Договора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Первичный ключ; номер договора в реестре юротдела (ИП 4)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ДОГОВОР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Номер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Регистрационный номер, UNIQUE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ДОГОВОР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Дата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Дата подписания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ДОГОВОР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ID_Проекта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ПРОЕКТ.ID_Проекта (1:1, неидентифицирующая связь)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ДОГОВОР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Сумма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DECIMAL(12,2)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Сумма договора; основание для счёта бухгалтерии (ИП 5)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ДОГОВОР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Условия_оплаты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Предоплата/поэтапная оплата, % аванса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ДОГОВОР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Статус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{проект, подписан, расторгнут, закрыт}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СОТРУДНИК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ID_Сотрудника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Первичный ключ, автоинкремент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СОТРУДНИК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ФИО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VARCHAR(150)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Фамилия, имя, отчество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СОТРУДНИК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Должность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VARCHAR(80)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Штатная должность по оргструктуре (линейно-функциональная)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СОТРУДНИК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Роль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VARCHAR(40)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Роль в проекте: {аналитик, архитектор, дизайнер, backend, frontend, mobile, QA, QA-автоматизатор, DevOps, PM, техписатель, юрист, бухгалтер}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СОТРУДНИК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Отдел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VARCHAR(60)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Подчинение: {разработка, тестирование, продажи, бухгалтерия, HR}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СОТРУДНИК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VARCHAR(120)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Корпоративная почта, UNIQUE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СОТРУДНИК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Ставка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DECIMAL(10,2)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Оклад/часовая ставка (доступно финдиректору)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ID_Заказчика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Мигрирует из PK проекта (идентифицирующая связь ЗАКАЗЧИК→ПРОЕКТ→ЗАДАЧА)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ID_Проекта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ПРОЕКТ.(ID_Заказчика, ID_Проекта); часть составного PK: задача не существует без проекта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ID_Задачи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Часть составного PK; номер задачи в Jira (ИП 11)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Описание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Формулировка задачи / user story, критерии готовности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Тип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{требование, разработка, тест, дефект, документ, внедрение}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Статус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{открыта, в работе, на ревью, на тестировании, выполнена, закрыта}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Приоритет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CHAR(8)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{Blocker, Critical, Major, Minor}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План_часов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DECIMAL(6,2)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Оценка трудоёмкости, чел.-ч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Срок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Плановая дата завершения (спринт)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ЗАДАЧА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ID_Исполнителя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FK,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СОТРУДНИК.ID_Сотрудника; неидентифицирующая связь (исполнитель может смениться, ключ задачи от этого не меняется)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ID_Заказчика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Мигрирует через PK задачи (цепочка идентифицирующих связей)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ID_Проекта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Мигрирует через PK задачи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ID_Задачи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ЗАДАЧА.(ID_Заказчика, ID_Проекта, ID_Задачи); часть составного PK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ID_Тест_кейса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Часть составного PK; идентификатор в TestRail (ИП 17)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Название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Наименование проверочного сценария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Шаги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Последовательность шагов и тестовые данные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Ожидаемый_результат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Эталон поведения по ТЗ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Результат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{не выполнялся, пройден, не пройден, заблокирован}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ID_Тестировщика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FK,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СОТРУДНИК.ID_Сотрудника; кто выполнял проверку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ТЕСТ_КЕЙС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Дата_проверки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Момент последнего прогона (в т.ч. автотестом, A32)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ID_Заказчика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Мигрирует через PK тест-кейса (цепочка идентифицирующих связей)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ID_Проекта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Мигрирует через PK тест-кейса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ID_Задачи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Мигрирует через PK тест-кейса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ID_Тест_кейса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FK,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ТЕСТ_КЕЙС.(…); часть составного PK: дефект привязан к проверке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ID_Бага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Часть составного PK; номер дефекта в Jira (ИП 17–18)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Описание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Фактическое поведение, шаги воспроизведения, окружение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Серьёзность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VARCHAR(12)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{Blocker, Critical, Major, Minor, Trivial}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Статус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{открыт, в работе, исправлен, на регрессии, закрыт, отклонён}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ID_Разработчика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FK,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СОТРУДНИК.ID_Сотрудника; исполнитель исправления (UOB 3)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Дата_обнаружения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Фиксация момента нахождения дефекта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БАГ_РЕПОРТ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Дата_закрытия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DATETIME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Факт закрытия после успешной регрессии (UOB 4 IDEF3)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ДОКУМЕНТ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ID_Документа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PK, 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Первичный ключ реестра документов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ДОКУМЕНТ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Тип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VARCHAR(30)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Домен: {ТЗ, протокол интервью, макет, архитектура, API-спецификация, инструкция, акт, счёт, договор, отчёт о качестве}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ДОКУМЕНТ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Название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VARCHAR(200)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Наименование документа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ДОКУМЕНТ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Ссылка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VARCHAR(500)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URL в Confluence/Figma/Git/ЭДО (хранилище D2)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ДОКУМЕНТ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Версия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VARCHAR(10)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Версия/ревизия документа (v1.0, v1.1)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ДОКУМЕНТ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Дата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DATE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Дата создания или подписания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ДОКУМЕНТ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ID_Проекта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FK,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ПРОЕКТ.ID_Проекта; неидентифицирующая связь (документ может быть общим, например стандарт компании)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6"/>
              </w:rPr>
              <w:t>ДОКУМЕНТ</w:t>
            </w:r>
          </w:p>
        </w:tc>
        <w:tc>
          <w:tcPr>
            <w:tcW w:type="dxa" w:w="2381"/>
          </w:tcPr>
          <w:p>
            <w:r/>
            <w:r>
              <w:rPr>
                <w:sz w:val="16"/>
              </w:rPr>
              <w:t>ID_Автора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INT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FK, NULL</w:t>
            </w:r>
          </w:p>
        </w:tc>
        <w:tc>
          <w:tcPr>
            <w:tcW w:type="dxa" w:w="6803"/>
          </w:tcPr>
          <w:p>
            <w:r/>
            <w:r>
              <w:rPr>
                <w:sz w:val="16"/>
              </w:rPr>
              <w:t>FK → СОТРУДНИК.ID_Сотрудника; автор/ответственный</w:t>
            </w:r>
          </w:p>
        </w:tc>
      </w:tr>
    </w:tbl>
    <w:p>
      <w:pPr>
        <w:spacing w:after="40"/>
      </w:pPr>
    </w:p>
    <w:p>
      <w:pPr>
        <w:pStyle w:val="Heading3"/>
      </w:pPr>
      <w:r>
        <w:t>Нормализация и целостность</w:t>
      </w:r>
    </w:p>
    <w:p>
      <w:pPr>
        <w:spacing w:after="60"/>
      </w:pPr>
      <w:r>
        <w:rPr>
          <w:b w:val="0"/>
          <w:i w:val="0"/>
          <w:sz w:val="20"/>
        </w:rPr>
        <w:t>1. 1НФ: все атрибуты атомарны (списки контактов, ролей и шагов вынесены в отдельные строки или домены), составные ключи образованы только атрибутами-ссылками.</w:t>
      </w:r>
    </w:p>
    <w:p>
      <w:pPr>
        <w:spacing w:after="60"/>
      </w:pPr>
      <w:r>
        <w:rPr>
          <w:b w:val="0"/>
          <w:i w:val="0"/>
          <w:sz w:val="20"/>
        </w:rPr>
        <w:t>2. 2НФ: в зависимых сущностях (ПРОЕКТ, ЗАДАЧА, ТЕСТ_КЕЙС, БАГ_РЕПОРТ) неключевые атрибуты зависят от полного составного ключа, а не от его части: например «Описание» задачи определяется парой (ID_Проекта, ID_Задачи).</w:t>
      </w:r>
    </w:p>
    <w:p>
      <w:pPr>
        <w:spacing w:after="60"/>
      </w:pPr>
      <w:r>
        <w:rPr>
          <w:b w:val="0"/>
          <w:i w:val="0"/>
          <w:sz w:val="20"/>
        </w:rPr>
        <w:t>3. 3НФ: устранены транзитивные зависимости — «Отдел» и «Должность» сотрудника, «Тип» и «Условия_оплаты» договора, «Серьёзность» дефекта хранятся один раз; справочники доменов (статусы, роли, типы документов) при физической реализации выносятся в отдельные таблицы.</w:t>
      </w:r>
    </w:p>
    <w:p>
      <w:pPr>
        <w:spacing w:after="60"/>
      </w:pPr>
      <w:r>
        <w:rPr>
          <w:b w:val="0"/>
          <w:i w:val="0"/>
          <w:sz w:val="20"/>
        </w:rPr>
        <w:t>4. Идентифицирующие связи делают дочерние сущности зависимыми (скруглённые углы по стандарту IDEF1X) и обеспечивают каскадное удаление; неидентифицирующие — допускают NULL (необязательные связи) и сохраняют независимость сущности.</w:t>
      </w:r>
    </w:p>
    <w:p>
      <w:pPr>
        <w:pStyle w:val="Heading3"/>
      </w:pPr>
      <w:r>
        <w:t>Соответствие этапам IDEF0 (A0–A4)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2"/>
        <w:gridCol w:w="7512"/>
      </w:tblGrid>
      <w:tr>
        <w:tc>
          <w:tcPr>
            <w:tcW w:type="dxa" w:w="4535"/>
          </w:tcPr>
          <w:p>
            <w:r/>
            <w:r>
              <w:rPr>
                <w:b/>
                <w:color w:val="12325E"/>
                <w:sz w:val="17"/>
              </w:rPr>
              <w:t>Этап IDEF0</w:t>
            </w:r>
          </w:p>
        </w:tc>
        <w:tc>
          <w:tcPr>
            <w:tcW w:type="dxa" w:w="10205"/>
          </w:tcPr>
          <w:p>
            <w:r/>
            <w:r>
              <w:rPr>
                <w:b/>
                <w:color w:val="12325E"/>
                <w:sz w:val="17"/>
              </w:rPr>
              <w:t>Сущности и данные этапа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A1 Анализ требований и проектирование</w:t>
            </w:r>
          </w:p>
        </w:tc>
        <w:tc>
          <w:tcPr>
            <w:tcW w:type="dxa" w:w="10205"/>
          </w:tcPr>
          <w:p>
            <w:r/>
            <w:r>
              <w:rPr>
                <w:sz w:val="17"/>
              </w:rPr>
              <w:t>ЗАКАЗЧИК, ПРОЕКТ, ДОГОВОР, ЗАДАЧА (тип «требование»), ДОКУМЕНТ (ТЗ, протокол, макет, архитектура)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A2 Разработка кода</w:t>
            </w:r>
          </w:p>
        </w:tc>
        <w:tc>
          <w:tcPr>
            <w:tcW w:type="dxa" w:w="10205"/>
          </w:tcPr>
          <w:p>
            <w:r/>
            <w:r>
              <w:rPr>
                <w:sz w:val="17"/>
              </w:rPr>
              <w:t>ЗАДАЧА (тип «разработка»), СОТРУДНИК (роли backend/frontend/mobile, тимлид)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A3 Тестирование и контроль качества</w:t>
            </w:r>
          </w:p>
        </w:tc>
        <w:tc>
          <w:tcPr>
            <w:tcW w:type="dxa" w:w="10205"/>
          </w:tcPr>
          <w:p>
            <w:r/>
            <w:r>
              <w:rPr>
                <w:sz w:val="17"/>
              </w:rPr>
              <w:t>ТЕСТ_КЕЙС, БАГ_РЕПОРТ, СОТРУДНИК (QA, QA-автоматизатор), ДОКУМЕНТ (отчёт о качестве)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A4 Внедрение и сдача заказчику</w:t>
            </w:r>
          </w:p>
        </w:tc>
        <w:tc>
          <w:tcPr>
            <w:tcW w:type="dxa" w:w="10205"/>
          </w:tcPr>
          <w:p>
            <w:r/>
            <w:r>
              <w:rPr>
                <w:sz w:val="17"/>
              </w:rPr>
              <w:t>ДОКУМЕНТ (инструкция, протокол демонстрации, акт), ПРОЕКТ (статус «внедрение» → «закрыт»), ЗАКАЗЧИК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Сквозные процессы (Файл 1: ИП 4–6, 22)</w:t>
            </w:r>
          </w:p>
        </w:tc>
        <w:tc>
          <w:tcPr>
            <w:tcW w:type="dxa" w:w="10205"/>
          </w:tcPr>
          <w:p>
            <w:r/>
            <w:r>
              <w:rPr>
                <w:sz w:val="17"/>
              </w:rPr>
              <w:t>ДОГОВОР, ДОКУМЕНТ (счёт, акт, закрывающие документы), СОТРУДНИК (юрист, бухгалтер)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0"/>
        </w:rPr>
        <w:t>Физическая реализация модели — скрипт sql/schema.sql (PostgreSQL): составные первичные ключи по правилу миграции IDEF1X, ON DELETE CASCADE для идентифицирующих связей, ON DELETE SET NULL для необязательных, UNIQUE для связи 1:1, CHECK-ограничения доменов.</w:t>
      </w:r>
    </w:p>
    <w:sectPr w:rsidR="00FC693F" w:rsidRPr="0006063C" w:rsidSect="00034616"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25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2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2325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