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 w:val="0"/>
          <w:i w:val="0"/>
          <w:sz w:val="22"/>
        </w:rPr>
        <w:t>ООО «ТехноСервис»</w:t>
      </w:r>
    </w:p>
    <w:p>
      <w:pPr>
        <w:pStyle w:val="Heading1"/>
      </w:pPr>
      <w:r>
        <w:t>Лабораторная работа №1. Функциональная модель IDEF0 «КАК ЕСТЬ»</w:t>
      </w:r>
    </w:p>
    <w:p>
      <w:pPr>
        <w:spacing w:after="120"/>
      </w:pPr>
      <w:r>
        <w:rPr>
          <w:b w:val="0"/>
          <w:i w:val="0"/>
          <w:sz w:val="21"/>
        </w:rPr>
        <w:t>Основной бизнес-процесс: «Разработка программного обеспечения» (A0). Контекстная диаграмма A-0, три уровня декомпозиции, дерево узлов. Дублирование в Dia (SADT/IDEF0).</w:t>
      </w:r>
    </w:p>
    <w:p>
      <w:pPr>
        <w:pStyle w:val="Heading2"/>
      </w:pPr>
      <w:r>
        <w:t>Контекстная диаграмма A-0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590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a-minus-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590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Рис. 1 — контекстная диаграмма A-0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12"/>
        <w:gridCol w:w="7512"/>
      </w:tblGrid>
      <w:tr>
        <w:tc>
          <w:tcPr>
            <w:tcW w:type="dxa" w:w="2268"/>
          </w:tcPr>
          <w:p>
            <w:r/>
            <w:r>
              <w:rPr>
                <w:b/>
                <w:color w:val="12325E"/>
                <w:sz w:val="17"/>
              </w:rPr>
              <w:t>Тип стрелки</w:t>
            </w:r>
          </w:p>
        </w:tc>
        <w:tc>
          <w:tcPr>
            <w:tcW w:type="dxa" w:w="12472"/>
          </w:tcPr>
          <w:p>
            <w:r/>
            <w:r>
              <w:rPr>
                <w:b/>
                <w:color w:val="12325E"/>
                <w:sz w:val="17"/>
              </w:rPr>
              <w:t>Наименование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Вход</w:t>
            </w:r>
          </w:p>
        </w:tc>
        <w:tc>
          <w:tcPr>
            <w:tcW w:type="dxa" w:w="12472"/>
          </w:tcPr>
          <w:p>
            <w:r/>
            <w:r>
              <w:rPr>
                <w:sz w:val="17"/>
              </w:rPr>
              <w:t>Требования заказчика: заявка, бизнес-цели, ограничения (ИП 1–3)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Вход</w:t>
            </w:r>
          </w:p>
        </w:tc>
        <w:tc>
          <w:tcPr>
            <w:tcW w:type="dxa" w:w="12472"/>
          </w:tcPr>
          <w:p>
            <w:r/>
            <w:r>
              <w:rPr>
                <w:sz w:val="17"/>
              </w:rPr>
              <w:t>Техническое задание (черновик) и исходные материалы (ИП 7–8)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Вход</w:t>
            </w:r>
          </w:p>
        </w:tc>
        <w:tc>
          <w:tcPr>
            <w:tcW w:type="dxa" w:w="12472"/>
          </w:tcPr>
          <w:p>
            <w:r/>
            <w:r>
              <w:rPr>
                <w:sz w:val="17"/>
              </w:rPr>
              <w:t>Обратная связь и запросы сопровождения (ИП 24–25)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Выход</w:t>
            </w:r>
          </w:p>
        </w:tc>
        <w:tc>
          <w:tcPr>
            <w:tcW w:type="dxa" w:w="12472"/>
          </w:tcPr>
          <w:p>
            <w:r/>
            <w:r>
              <w:rPr>
                <w:sz w:val="17"/>
              </w:rPr>
              <w:t>Готовый программный продукт (ИП 21)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Выход</w:t>
            </w:r>
          </w:p>
        </w:tc>
        <w:tc>
          <w:tcPr>
            <w:tcW w:type="dxa" w:w="12472"/>
          </w:tcPr>
          <w:p>
            <w:r/>
            <w:r>
              <w:rPr>
                <w:sz w:val="17"/>
              </w:rPr>
              <w:t>Проектная и пользовательская документация (ИП 23)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Выход</w:t>
            </w:r>
          </w:p>
        </w:tc>
        <w:tc>
          <w:tcPr>
            <w:tcW w:type="dxa" w:w="12472"/>
          </w:tcPr>
          <w:p>
            <w:r/>
            <w:r>
              <w:rPr>
                <w:sz w:val="17"/>
              </w:rPr>
              <w:t>Подписанный акт сдачи-приёмки, закрывающие документы (ИП 21–22)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Управление</w:t>
            </w:r>
          </w:p>
        </w:tc>
        <w:tc>
          <w:tcPr>
            <w:tcW w:type="dxa" w:w="12472"/>
          </w:tcPr>
          <w:p>
            <w:r/>
            <w:r>
              <w:rPr>
                <w:sz w:val="17"/>
              </w:rPr>
              <w:t>Договор с заказчиком и приложения: рамки, сроки, бюджет (ИП 4)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Управление</w:t>
            </w:r>
          </w:p>
        </w:tc>
        <w:tc>
          <w:tcPr>
            <w:tcW w:type="dxa" w:w="12472"/>
          </w:tcPr>
          <w:p>
            <w:r/>
            <w:r>
              <w:rPr>
                <w:sz w:val="17"/>
              </w:rPr>
              <w:t>Стандарты и регламенты: ГОСТ 34.602, внутренние методики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Управление</w:t>
            </w:r>
          </w:p>
        </w:tc>
        <w:tc>
          <w:tcPr>
            <w:tcW w:type="dxa" w:w="12472"/>
          </w:tcPr>
          <w:p>
            <w:r/>
            <w:r>
              <w:rPr>
                <w:sz w:val="17"/>
              </w:rPr>
              <w:t>План-график работ и бюджет проекта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Механизм</w:t>
            </w:r>
          </w:p>
        </w:tc>
        <w:tc>
          <w:tcPr>
            <w:tcW w:type="dxa" w:w="12472"/>
          </w:tcPr>
          <w:p>
            <w:r/>
            <w:r>
              <w:rPr>
                <w:sz w:val="17"/>
              </w:rPr>
              <w:t>Персонал: аналитики, архитектор, дизайнеры, разработчики, QA, DevOps, PM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Механизм</w:t>
            </w:r>
          </w:p>
        </w:tc>
        <w:tc>
          <w:tcPr>
            <w:tcW w:type="dxa" w:w="12472"/>
          </w:tcPr>
          <w:p>
            <w:r/>
            <w:r>
              <w:rPr>
                <w:sz w:val="17"/>
              </w:rPr>
              <w:t>Инструменты: ПК, IDE, Jira, Git, CI/CD, Figma, Confluence</w:t>
            </w:r>
          </w:p>
        </w:tc>
      </w:tr>
    </w:tbl>
    <w:p>
      <w:pPr>
        <w:spacing w:after="40"/>
      </w:pPr>
    </w:p>
    <w:p>
      <w:pPr>
        <w:pStyle w:val="Heading2"/>
      </w:pPr>
      <w:r>
        <w:t>Уровень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3987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level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98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Рис. 2 — уровень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850"/>
          </w:tcPr>
          <w:p>
            <w:r/>
            <w:r>
              <w:rPr>
                <w:b/>
                <w:color w:val="12325E"/>
                <w:sz w:val="17"/>
              </w:rPr>
              <w:t>Узел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12325E"/>
                <w:sz w:val="17"/>
              </w:rPr>
              <w:t>Наименование</w:t>
            </w:r>
          </w:p>
        </w:tc>
        <w:tc>
          <w:tcPr>
            <w:tcW w:type="dxa" w:w="2835"/>
          </w:tcPr>
          <w:p>
            <w:r/>
            <w:r>
              <w:rPr>
                <w:b/>
                <w:color w:val="12325E"/>
                <w:sz w:val="17"/>
              </w:rPr>
              <w:t>Входы</w:t>
            </w:r>
          </w:p>
        </w:tc>
        <w:tc>
          <w:tcPr>
            <w:tcW w:type="dxa" w:w="2835"/>
          </w:tcPr>
          <w:p>
            <w:r/>
            <w:r>
              <w:rPr>
                <w:b/>
                <w:color w:val="12325E"/>
                <w:sz w:val="17"/>
              </w:rPr>
              <w:t>Выходы</w:t>
            </w:r>
          </w:p>
        </w:tc>
        <w:tc>
          <w:tcPr>
            <w:tcW w:type="dxa" w:w="2835"/>
          </w:tcPr>
          <w:p>
            <w:r/>
            <w:r>
              <w:rPr>
                <w:b/>
                <w:color w:val="12325E"/>
                <w:sz w:val="17"/>
              </w:rPr>
              <w:t>Управление</w:t>
            </w:r>
          </w:p>
        </w:tc>
        <w:tc>
          <w:tcPr>
            <w:tcW w:type="dxa" w:w="3118"/>
          </w:tcPr>
          <w:p>
            <w:r/>
            <w:r>
              <w:rPr>
                <w:b/>
                <w:color w:val="12325E"/>
                <w:sz w:val="17"/>
              </w:rPr>
              <w:t>Механизмы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A1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Анализ требований и проектирование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Требования заказчика,</w:t>
              <w:br/>
              <w:t>заявка (ИП 1–3)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Согласованное ТЗ,</w:t>
              <w:br/>
              <w:t>проектная документация,</w:t>
              <w:br/>
              <w:t>макеты (ИП 9)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Договор (ИП 4),</w:t>
              <w:br/>
              <w:t>ГОСТ 34.602,</w:t>
              <w:br/>
              <w:t>методики анализа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Аналитик, архитектор,</w:t>
              <w:br/>
              <w:t>дизайнер, PM</w:t>
              <w:br/>
              <w:t>CRM, Confluence,</w:t>
              <w:br/>
              <w:t>Figma, Visio/Swagger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A2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Разработка кода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Согласованное ТЗ,</w:t>
              <w:br/>
              <w:t>архитектура, макеты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Релиз-кандидат</w:t>
              <w:br/>
              <w:t>(ИП 16)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Стандарты кодирования,</w:t>
              <w:br/>
              <w:t>чек-листы ревью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Backend/frontend/mobile-</w:t>
              <w:br/>
              <w:t>разработчики, тимлид</w:t>
              <w:br/>
              <w:t>Git, IDE, CI/CD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A3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Тестирование и контроль качества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Исправленная сборка</w:t>
              <w:br/>
              <w:t>(возврат из A2)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Протестированный продукт,</w:t>
              <w:br/>
              <w:t>отчёт о качестве (ИП 19–21)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Стандарты качества,</w:t>
              <w:br/>
              <w:t>чек-листы,</w:t>
              <w:br/>
              <w:t>критерии приёмки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QA-инженеры, QA-автоматизатор,</w:t>
              <w:br/>
              <w:t>QA-лид</w:t>
              <w:br/>
              <w:t>Jira, TestRail,</w:t>
              <w:br/>
              <w:t>Selenium/PyTest, Allure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A4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Внедрение и сдача заказчику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Протестированный</w:t>
              <w:br/>
              <w:t>продукт, отчёт</w:t>
              <w:br/>
              <w:t>о качестве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Внедрённый продукт, акт,</w:t>
              <w:br/>
              <w:t>инструкции (ИП 21–23)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Договор, SLA,</w:t>
              <w:br/>
              <w:t>регламент приёмки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PM, DevOps, техписатель,</w:t>
              <w:br/>
              <w:t>юрист, бухгалтерия</w:t>
              <w:br/>
              <w:t>Docker/K8s, ВКС, ЭДО</w:t>
            </w:r>
          </w:p>
        </w:tc>
      </w:tr>
    </w:tbl>
    <w:p>
      <w:pPr>
        <w:spacing w:after="40"/>
      </w:pPr>
    </w:p>
    <w:p>
      <w:pPr>
        <w:pStyle w:val="Heading2"/>
      </w:pPr>
      <w:r>
        <w:t>Уровень 2</w:t>
      </w:r>
    </w:p>
    <w:p>
      <w:pPr>
        <w:pStyle w:val="Heading3"/>
      </w:pPr>
      <w:r>
        <w:t>Узел 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68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level2-a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6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Диаграмма узла A1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134"/>
          </w:tcPr>
          <w:p>
            <w:r/>
            <w:r>
              <w:rPr>
                <w:b/>
                <w:color w:val="12325E"/>
                <w:sz w:val="17"/>
              </w:rPr>
              <w:t>Узел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12325E"/>
                <w:sz w:val="17"/>
              </w:rPr>
              <w:t>Наименование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12325E"/>
                <w:sz w:val="17"/>
              </w:rPr>
              <w:t>Управление</w:t>
            </w:r>
          </w:p>
        </w:tc>
        <w:tc>
          <w:tcPr>
            <w:tcW w:type="dxa" w:w="5102"/>
          </w:tcPr>
          <w:p>
            <w:r/>
            <w:r>
              <w:rPr>
                <w:b/>
                <w:color w:val="12325E"/>
                <w:sz w:val="17"/>
              </w:rPr>
              <w:t>Механизмы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A11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Сбор требований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Договор, методики</w:t>
              <w:br/>
              <w:t>сбора требований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Аналитик, PM, CRM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A12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Разработка ТЗ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ГОСТ 34.602,</w:t>
              <w:br/>
              <w:t>шаблон ТЗ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Аналитик, PM,</w:t>
              <w:br/>
              <w:t>Confluence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A13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Проектирование архитектуры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Паттерны и стандарты</w:t>
              <w:br/>
              <w:t>проектирования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Архитектор,</w:t>
              <w:br/>
              <w:t>Visio, Swagger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A14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Дизайн UI/UX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Брендбук,</w:t>
              <w:br/>
              <w:t>UI-гайдлайны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Дизайнер, Figma</w:t>
            </w:r>
          </w:p>
        </w:tc>
      </w:tr>
    </w:tbl>
    <w:p>
      <w:pPr>
        <w:spacing w:after="40"/>
      </w:pPr>
    </w:p>
    <w:p>
      <w:pPr>
        <w:pStyle w:val="Heading3"/>
      </w:pPr>
      <w:r>
        <w:t>Узел 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73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level2-a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73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Диаграмма узла A2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134"/>
          </w:tcPr>
          <w:p>
            <w:r/>
            <w:r>
              <w:rPr>
                <w:b/>
                <w:color w:val="12325E"/>
                <w:sz w:val="17"/>
              </w:rPr>
              <w:t>Узел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12325E"/>
                <w:sz w:val="17"/>
              </w:rPr>
              <w:t>Наименование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12325E"/>
                <w:sz w:val="17"/>
              </w:rPr>
              <w:t>Управление</w:t>
            </w:r>
          </w:p>
        </w:tc>
        <w:tc>
          <w:tcPr>
            <w:tcW w:type="dxa" w:w="5102"/>
          </w:tcPr>
          <w:p>
            <w:r/>
            <w:r>
              <w:rPr>
                <w:b/>
                <w:color w:val="12325E"/>
                <w:sz w:val="17"/>
              </w:rPr>
              <w:t>Механизмы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A21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Разработка backend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Стандарты кодирования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Backend-разработчики, Git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A22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Разработка frontend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Стандарты кодирования,</w:t>
              <w:br/>
              <w:t>UI-кит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Frontend-разработчики, IDE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A23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Мобильная разработка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Гайдлайны iOS/Android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Mobile-разработчики,</w:t>
              <w:br/>
              <w:t>Xcode/Android Studio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A24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Code review и сборка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Чек-листы ревью,</w:t>
              <w:br/>
              <w:t>регламент CI/CD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Тимлид, CI/CD</w:t>
            </w:r>
          </w:p>
        </w:tc>
      </w:tr>
    </w:tbl>
    <w:p>
      <w:pPr>
        <w:spacing w:after="40"/>
      </w:pPr>
    </w:p>
    <w:p>
      <w:pPr>
        <w:pStyle w:val="Heading3"/>
      </w:pPr>
      <w:r>
        <w:t>Узел 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3217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level2-a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321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Диаграмма узла A3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134"/>
          </w:tcPr>
          <w:p>
            <w:r/>
            <w:r>
              <w:rPr>
                <w:b/>
                <w:color w:val="12325E"/>
                <w:sz w:val="17"/>
              </w:rPr>
              <w:t>Узел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12325E"/>
                <w:sz w:val="17"/>
              </w:rPr>
              <w:t>Наименование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12325E"/>
                <w:sz w:val="17"/>
              </w:rPr>
              <w:t>Управление</w:t>
            </w:r>
          </w:p>
        </w:tc>
        <w:tc>
          <w:tcPr>
            <w:tcW w:type="dxa" w:w="5102"/>
          </w:tcPr>
          <w:p>
            <w:r/>
            <w:r>
              <w:rPr>
                <w:b/>
                <w:color w:val="12325E"/>
                <w:sz w:val="17"/>
              </w:rPr>
              <w:t>Механизмы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A31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Ручное тестирование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ТЗ, критерии приёмки,</w:t>
              <w:br/>
              <w:t>чек-листы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QA-инженер,</w:t>
              <w:br/>
              <w:t>Jira, TestRail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A32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Автотестирование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Стандарты автотестов,</w:t>
              <w:br/>
              <w:t>порог покрытия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QA-автоматизатор,</w:t>
              <w:br/>
              <w:t>Selenium, PyTest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A33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Регрессионное тестирование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Матрица трассировки,</w:t>
              <w:br/>
              <w:t>регламент регрессии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QA-инженер, CI/CD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A34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Отчёт о качестве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Шаблон отчёта,</w:t>
              <w:br/>
              <w:t>критерии приёмки, SLA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QA-лид, PM</w:t>
            </w:r>
          </w:p>
        </w:tc>
      </w:tr>
    </w:tbl>
    <w:p>
      <w:pPr>
        <w:spacing w:after="40"/>
      </w:pPr>
    </w:p>
    <w:p>
      <w:pPr>
        <w:pStyle w:val="Heading3"/>
      </w:pPr>
      <w:r>
        <w:t>Узел A4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1886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level2-a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188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Диаграмма узла A4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134"/>
          </w:tcPr>
          <w:p>
            <w:r/>
            <w:r>
              <w:rPr>
                <w:b/>
                <w:color w:val="12325E"/>
                <w:sz w:val="17"/>
              </w:rPr>
              <w:t>Узел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12325E"/>
                <w:sz w:val="17"/>
              </w:rPr>
              <w:t>Наименование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12325E"/>
                <w:sz w:val="17"/>
              </w:rPr>
              <w:t>Управление</w:t>
            </w:r>
          </w:p>
        </w:tc>
        <w:tc>
          <w:tcPr>
            <w:tcW w:type="dxa" w:w="5102"/>
          </w:tcPr>
          <w:p>
            <w:r/>
            <w:r>
              <w:rPr>
                <w:b/>
                <w:color w:val="12325E"/>
                <w:sz w:val="17"/>
              </w:rPr>
              <w:t>Механизмы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A41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Развертывание на серверах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Стандарты инфраструктуры,</w:t>
              <w:br/>
              <w:t>регламент развёртывания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DevOps, Docker,</w:t>
              <w:br/>
              <w:t>Kubernetes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A42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Обучение пользователей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Программа обучения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Техписатель, ВКС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A43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Демонстрация и приемка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Договор, критерии</w:t>
              <w:br/>
              <w:t>приёмки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PM, заказчик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A44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Подписание акта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Договор, регламент</w:t>
              <w:br/>
              <w:t>документооборота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PM, юрист, бухгалтерия,</w:t>
              <w:br/>
              <w:t>ЭДО</w:t>
            </w:r>
          </w:p>
        </w:tc>
      </w:tr>
    </w:tbl>
    <w:p>
      <w:pPr>
        <w:spacing w:after="40"/>
      </w:pPr>
    </w:p>
    <w:p>
      <w:pPr>
        <w:pStyle w:val="Heading2"/>
      </w:pPr>
      <w:r>
        <w:t>Уровень 3</w:t>
      </w:r>
    </w:p>
    <w:p>
      <w:pPr>
        <w:pStyle w:val="Heading3"/>
      </w:pPr>
      <w:r>
        <w:t>Узел A11 «Сбор требований»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35921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level3-a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59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Диаграмма узла A11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134"/>
          </w:tcPr>
          <w:p>
            <w:r/>
            <w:r>
              <w:rPr>
                <w:b/>
                <w:color w:val="12325E"/>
                <w:sz w:val="17"/>
              </w:rPr>
              <w:t>Узел</w:t>
            </w:r>
          </w:p>
        </w:tc>
        <w:tc>
          <w:tcPr>
            <w:tcW w:type="dxa" w:w="5102"/>
          </w:tcPr>
          <w:p>
            <w:r/>
            <w:r>
              <w:rPr>
                <w:b/>
                <w:color w:val="12325E"/>
                <w:sz w:val="17"/>
              </w:rPr>
              <w:t>Элементарная работа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12325E"/>
                <w:sz w:val="17"/>
              </w:rPr>
              <w:t>Управление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12325E"/>
                <w:sz w:val="17"/>
              </w:rPr>
              <w:t>Механизм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A111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Регистрация и анализ заявки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Регламент обработки заказов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Менеджер продаж, CRM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A112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Интервью с заказчиком и стейкхолдерами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Методика интервью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Аналитик, PM, ВКС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A113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Формализация требований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Шаблон реестра требований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Аналитик, Confluence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A114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Нормализация и приоритизация с заказчиком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Договор, критерии приоритетов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Аналитик, заказчик</w:t>
            </w:r>
          </w:p>
        </w:tc>
      </w:tr>
    </w:tbl>
    <w:p>
      <w:pPr>
        <w:spacing w:after="40"/>
      </w:pPr>
    </w:p>
    <w:p>
      <w:pPr>
        <w:pStyle w:val="Heading3"/>
      </w:pPr>
      <w:r>
        <w:t>Узел A12 «Разработка ТЗ»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35921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level3-a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59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Диаграмма узла A12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134"/>
          </w:tcPr>
          <w:p>
            <w:r/>
            <w:r>
              <w:rPr>
                <w:b/>
                <w:color w:val="12325E"/>
                <w:sz w:val="17"/>
              </w:rPr>
              <w:t>Узел</w:t>
            </w:r>
          </w:p>
        </w:tc>
        <w:tc>
          <w:tcPr>
            <w:tcW w:type="dxa" w:w="5102"/>
          </w:tcPr>
          <w:p>
            <w:r/>
            <w:r>
              <w:rPr>
                <w:b/>
                <w:color w:val="12325E"/>
                <w:sz w:val="17"/>
              </w:rPr>
              <w:t>Элементарная работа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12325E"/>
                <w:sz w:val="17"/>
              </w:rPr>
              <w:t>Управление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12325E"/>
                <w:sz w:val="17"/>
              </w:rPr>
              <w:t>Механизм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A121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Черновик ТЗ по ГОСТ 34.602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ГОСТ 34.602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Аналитик, Confluence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A122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Внутренняя экспертиза ТЗ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Регламент рецензирования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Техдир, архитектор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A123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Согласование ТЗ с заказчиком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Договор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PM, заказчик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A124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Утверждение и фиксация базовой линии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Регламент управления изменениями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PM, Confluence</w:t>
            </w:r>
          </w:p>
        </w:tc>
      </w:tr>
    </w:tbl>
    <w:p>
      <w:pPr>
        <w:spacing w:after="40"/>
      </w:pPr>
    </w:p>
    <w:p>
      <w:pPr>
        <w:pStyle w:val="Heading3"/>
      </w:pPr>
      <w:r>
        <w:t>Узел A13 «Проектирование архитектуры»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35921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level3-a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59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Диаграмма узла A13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134"/>
          </w:tcPr>
          <w:p>
            <w:r/>
            <w:r>
              <w:rPr>
                <w:b/>
                <w:color w:val="12325E"/>
                <w:sz w:val="17"/>
              </w:rPr>
              <w:t>Узел</w:t>
            </w:r>
          </w:p>
        </w:tc>
        <w:tc>
          <w:tcPr>
            <w:tcW w:type="dxa" w:w="5102"/>
          </w:tcPr>
          <w:p>
            <w:r/>
            <w:r>
              <w:rPr>
                <w:b/>
                <w:color w:val="12325E"/>
                <w:sz w:val="17"/>
              </w:rPr>
              <w:t>Элементарная работа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12325E"/>
                <w:sz w:val="17"/>
              </w:rPr>
              <w:t>Управление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12325E"/>
                <w:sz w:val="17"/>
              </w:rPr>
              <w:t>Механизм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A131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Выбор технологического стека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Стандарты технологий компании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Архитектор, техдир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A132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Проектирование схемы компонентов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Паттерны проектирования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Архитектор, Visio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A133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Проектирование модели БД и API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Стандарты API (OpenAPI)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Архитектор, Swagger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A134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Архитектурное ревью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Чек-лист ревью архитектуры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Техдир, тимлиды</w:t>
            </w:r>
          </w:p>
        </w:tc>
      </w:tr>
    </w:tbl>
    <w:p>
      <w:pPr>
        <w:spacing w:after="40"/>
      </w:pPr>
    </w:p>
    <w:p>
      <w:pPr>
        <w:pStyle w:val="Heading3"/>
      </w:pPr>
      <w:r>
        <w:t>Узел A14 «Дизайн UI/UX»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35921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level3-a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59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Диаграмма узла A14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134"/>
          </w:tcPr>
          <w:p>
            <w:r/>
            <w:r>
              <w:rPr>
                <w:b/>
                <w:color w:val="12325E"/>
                <w:sz w:val="17"/>
              </w:rPr>
              <w:t>Узел</w:t>
            </w:r>
          </w:p>
        </w:tc>
        <w:tc>
          <w:tcPr>
            <w:tcW w:type="dxa" w:w="5102"/>
          </w:tcPr>
          <w:p>
            <w:r/>
            <w:r>
              <w:rPr>
                <w:b/>
                <w:color w:val="12325E"/>
                <w:sz w:val="17"/>
              </w:rPr>
              <w:t>Элементарная работа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12325E"/>
                <w:sz w:val="17"/>
              </w:rPr>
              <w:t>Управление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12325E"/>
                <w:sz w:val="17"/>
              </w:rPr>
              <w:t>Механизм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A141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Анализ брендбука и UX-гайдлайнов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Брендбук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Дизайнер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A142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Прототипирование ключевых сценариев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Гайдлайны UX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Дизайнер, Figma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A143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Отрисовка UI-макетов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UI-кит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Дизайнер, Figma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A144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Согласование макетов с заказчиком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Договор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PM, заказчик</w:t>
            </w:r>
          </w:p>
        </w:tc>
      </w:tr>
    </w:tbl>
    <w:p>
      <w:pPr>
        <w:spacing w:after="40"/>
      </w:pPr>
    </w:p>
    <w:p>
      <w:pPr>
        <w:pStyle w:val="Heading3"/>
      </w:pPr>
      <w:r>
        <w:t>Узел A21 «Разработка backend»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35921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level3-a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59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Диаграмма узла A21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134"/>
          </w:tcPr>
          <w:p>
            <w:r/>
            <w:r>
              <w:rPr>
                <w:b/>
                <w:color w:val="12325E"/>
                <w:sz w:val="17"/>
              </w:rPr>
              <w:t>Узел</w:t>
            </w:r>
          </w:p>
        </w:tc>
        <w:tc>
          <w:tcPr>
            <w:tcW w:type="dxa" w:w="5102"/>
          </w:tcPr>
          <w:p>
            <w:r/>
            <w:r>
              <w:rPr>
                <w:b/>
                <w:color w:val="12325E"/>
                <w:sz w:val="17"/>
              </w:rPr>
              <w:t>Элементарная работа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12325E"/>
                <w:sz w:val="17"/>
              </w:rPr>
              <w:t>Управление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12325E"/>
                <w:sz w:val="17"/>
              </w:rPr>
              <w:t>Механизм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A211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Подготовка репозитория и окружения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Регламент ветвления Git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Backend-разработчик, Git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A212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Реализация бизнес-логики и API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Стандарты кодирования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Backend-разработчик, IDE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A213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Модульное тестирование серверного кода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Политика unit-тестов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Backend-разработчик, PyTest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A214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Code review и слияние в develop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Чек-лист code review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Тимлид, Git</w:t>
            </w:r>
          </w:p>
        </w:tc>
      </w:tr>
    </w:tbl>
    <w:p>
      <w:pPr>
        <w:spacing w:after="40"/>
      </w:pPr>
    </w:p>
    <w:p>
      <w:pPr>
        <w:pStyle w:val="Heading3"/>
      </w:pPr>
      <w:r>
        <w:t>Узел A22 «Разработка frontend»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35921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level3-a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59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Диаграмма узла A22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134"/>
          </w:tcPr>
          <w:p>
            <w:r/>
            <w:r>
              <w:rPr>
                <w:b/>
                <w:color w:val="12325E"/>
                <w:sz w:val="17"/>
              </w:rPr>
              <w:t>Узел</w:t>
            </w:r>
          </w:p>
        </w:tc>
        <w:tc>
          <w:tcPr>
            <w:tcW w:type="dxa" w:w="5102"/>
          </w:tcPr>
          <w:p>
            <w:r/>
            <w:r>
              <w:rPr>
                <w:b/>
                <w:color w:val="12325E"/>
                <w:sz w:val="17"/>
              </w:rPr>
              <w:t>Элементарная работа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12325E"/>
                <w:sz w:val="17"/>
              </w:rPr>
              <w:t>Управление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12325E"/>
                <w:sz w:val="17"/>
              </w:rPr>
              <w:t>Механизм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A221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Развёртывание каркаса клиента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Стандарты фронтенда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Frontend-разработчик, IDE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A222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Вёрстка компонентов по макетам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UI-кит, гайдлайны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Frontend-разработчик, Figma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A223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Интеграция с API и состоянием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API-контракты (OpenAPI)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Frontend-разработчик, Swagger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A224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Компонентные тесты и слияние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Чек-лист code review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Frontend-разработчик, тимлид</w:t>
            </w:r>
          </w:p>
        </w:tc>
      </w:tr>
    </w:tbl>
    <w:p>
      <w:pPr>
        <w:spacing w:after="40"/>
      </w:pPr>
    </w:p>
    <w:p>
      <w:pPr>
        <w:pStyle w:val="Heading3"/>
      </w:pPr>
      <w:r>
        <w:t>Узел A23 «Мобильная разработка»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35921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level3-a2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59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Диаграмма узла A23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134"/>
          </w:tcPr>
          <w:p>
            <w:r/>
            <w:r>
              <w:rPr>
                <w:b/>
                <w:color w:val="12325E"/>
                <w:sz w:val="17"/>
              </w:rPr>
              <w:t>Узел</w:t>
            </w:r>
          </w:p>
        </w:tc>
        <w:tc>
          <w:tcPr>
            <w:tcW w:type="dxa" w:w="5102"/>
          </w:tcPr>
          <w:p>
            <w:r/>
            <w:r>
              <w:rPr>
                <w:b/>
                <w:color w:val="12325E"/>
                <w:sz w:val="17"/>
              </w:rPr>
              <w:t>Элементарная работа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12325E"/>
                <w:sz w:val="17"/>
              </w:rPr>
              <w:t>Управление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12325E"/>
                <w:sz w:val="17"/>
              </w:rPr>
              <w:t>Механизм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A231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Подготовка проектов iOS/Android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Регламент ветвления Git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Mobile-разработчик, Xcode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A232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Реализация экранов и навигации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Гайдлайны платформ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Mobile-разработчик, Figma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A233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Интеграция с API и офлайн-режимом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API-контракты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Mobile-разработчик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A234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Тесты на устройствах и эмуляторах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Чек-лист мобильного тестирования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Mobile-разработчик, парк устройств</w:t>
            </w:r>
          </w:p>
        </w:tc>
      </w:tr>
    </w:tbl>
    <w:p>
      <w:pPr>
        <w:spacing w:after="40"/>
      </w:pPr>
    </w:p>
    <w:p>
      <w:pPr>
        <w:pStyle w:val="Heading3"/>
      </w:pPr>
      <w:r>
        <w:t>Узел A24 «Code review и сборка»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359217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level3-a2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59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Диаграмма узла A24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134"/>
          </w:tcPr>
          <w:p>
            <w:r/>
            <w:r>
              <w:rPr>
                <w:b/>
                <w:color w:val="12325E"/>
                <w:sz w:val="17"/>
              </w:rPr>
              <w:t>Узел</w:t>
            </w:r>
          </w:p>
        </w:tc>
        <w:tc>
          <w:tcPr>
            <w:tcW w:type="dxa" w:w="5102"/>
          </w:tcPr>
          <w:p>
            <w:r/>
            <w:r>
              <w:rPr>
                <w:b/>
                <w:color w:val="12325E"/>
                <w:sz w:val="17"/>
              </w:rPr>
              <w:t>Элементарная работа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12325E"/>
                <w:sz w:val="17"/>
              </w:rPr>
              <w:t>Управление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12325E"/>
                <w:sz w:val="17"/>
              </w:rPr>
              <w:t>Механизм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A241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Ревью интеграционных изменений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Чек-листы code review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Тимлид, Git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A242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Исправление замечаний ревью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Стандарты кодирования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Разработчики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A243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Сборка артефактов в CI/CD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Регламент CI/CD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DevOps, CI/CD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A244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Формирование релиз-кандидата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Регламент релизов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Тимлид, CI/CD</w:t>
            </w:r>
          </w:p>
        </w:tc>
      </w:tr>
    </w:tbl>
    <w:p>
      <w:pPr>
        <w:spacing w:after="40"/>
      </w:pPr>
    </w:p>
    <w:p>
      <w:pPr>
        <w:pStyle w:val="Heading3"/>
      </w:pPr>
      <w:r>
        <w:t>Узел A31 «Ручное тестирование»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35921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level3-a3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59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Диаграмма узла A31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134"/>
          </w:tcPr>
          <w:p>
            <w:r/>
            <w:r>
              <w:rPr>
                <w:b/>
                <w:color w:val="12325E"/>
                <w:sz w:val="17"/>
              </w:rPr>
              <w:t>Узел</w:t>
            </w:r>
          </w:p>
        </w:tc>
        <w:tc>
          <w:tcPr>
            <w:tcW w:type="dxa" w:w="5102"/>
          </w:tcPr>
          <w:p>
            <w:r/>
            <w:r>
              <w:rPr>
                <w:b/>
                <w:color w:val="12325E"/>
                <w:sz w:val="17"/>
              </w:rPr>
              <w:t>Элементарная работа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12325E"/>
                <w:sz w:val="17"/>
              </w:rPr>
              <w:t>Управление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12325E"/>
                <w:sz w:val="17"/>
              </w:rPr>
              <w:t>Механизм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A311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Разработка и актуализация тест-кейсов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Шаблон тест-кейса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QA-инженер, TestRail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A312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Выполнение функциональных проверок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ТЗ, критерии приёмки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QA-инженер, Jira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A313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Регистрация и триаж баг-репортов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Регламент работы с дефектами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QA-инженер, Jira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A314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Ретест исправленных дефектов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Регламент работы с дефектами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QA-инженер</w:t>
            </w:r>
          </w:p>
        </w:tc>
      </w:tr>
    </w:tbl>
    <w:p>
      <w:pPr>
        <w:spacing w:after="40"/>
      </w:pPr>
    </w:p>
    <w:p>
      <w:pPr>
        <w:pStyle w:val="Heading3"/>
      </w:pPr>
      <w:r>
        <w:t>Узел A32 «Автотестирование»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35921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level3-a3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59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Диаграмма узла A32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134"/>
          </w:tcPr>
          <w:p>
            <w:r/>
            <w:r>
              <w:rPr>
                <w:b/>
                <w:color w:val="12325E"/>
                <w:sz w:val="17"/>
              </w:rPr>
              <w:t>Узел</w:t>
            </w:r>
          </w:p>
        </w:tc>
        <w:tc>
          <w:tcPr>
            <w:tcW w:type="dxa" w:w="5102"/>
          </w:tcPr>
          <w:p>
            <w:r/>
            <w:r>
              <w:rPr>
                <w:b/>
                <w:color w:val="12325E"/>
                <w:sz w:val="17"/>
              </w:rPr>
              <w:t>Элементарная работа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12325E"/>
                <w:sz w:val="17"/>
              </w:rPr>
              <w:t>Управление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12325E"/>
                <w:sz w:val="17"/>
              </w:rPr>
              <w:t>Механизм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A321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Разработка и обновление автотестов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Стандарты автотестов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QA-автоматизатор, PyTest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A322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Прогон регрессионного набора в CI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Регламент CI/CD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CI/CD, Selenium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A323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Анализ результатов и покрытия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Порог покрытия ≥ 70 %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QA-автоматизатор, Allure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A324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Регистрация дефектов по итогам прогона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Регламент работы с дефектами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QA-инженер, Jira</w:t>
            </w:r>
          </w:p>
        </w:tc>
      </w:tr>
    </w:tbl>
    <w:p>
      <w:pPr>
        <w:spacing w:after="40"/>
      </w:pPr>
    </w:p>
    <w:p>
      <w:pPr>
        <w:pStyle w:val="Heading3"/>
      </w:pPr>
      <w:r>
        <w:t>Узел A33 «Регрессионное тестирование»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452712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level3-a3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527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Диаграмма узла A33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134"/>
          </w:tcPr>
          <w:p>
            <w:r/>
            <w:r>
              <w:rPr>
                <w:b/>
                <w:color w:val="12325E"/>
                <w:sz w:val="17"/>
              </w:rPr>
              <w:t>Узел</w:t>
            </w:r>
          </w:p>
        </w:tc>
        <w:tc>
          <w:tcPr>
            <w:tcW w:type="dxa" w:w="5102"/>
          </w:tcPr>
          <w:p>
            <w:r/>
            <w:r>
              <w:rPr>
                <w:b/>
                <w:color w:val="12325E"/>
                <w:sz w:val="17"/>
              </w:rPr>
              <w:t>Элементарная работа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12325E"/>
                <w:sz w:val="17"/>
              </w:rPr>
              <w:t>Управление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12325E"/>
                <w:sz w:val="17"/>
              </w:rPr>
              <w:t>Механизм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A331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Определение области регрессии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Матрица трассировки «требование–тест»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QA-инженер, TestRail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A332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Прогон регрессионного набора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Регламент регрессии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QA-инженер, CI/CD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A333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Верификация отсутствия новых дефектов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Критерии стабильности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QA-инженер, Jira</w:t>
            </w:r>
          </w:p>
        </w:tc>
      </w:tr>
    </w:tbl>
    <w:p>
      <w:pPr>
        <w:spacing w:after="40"/>
      </w:pPr>
    </w:p>
    <w:p>
      <w:pPr>
        <w:pStyle w:val="Heading3"/>
      </w:pPr>
      <w:r>
        <w:t>Узел A34 «Отчёт о качестве»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35921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level3-a3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59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Диаграмма узла A34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134"/>
          </w:tcPr>
          <w:p>
            <w:r/>
            <w:r>
              <w:rPr>
                <w:b/>
                <w:color w:val="12325E"/>
                <w:sz w:val="17"/>
              </w:rPr>
              <w:t>Узел</w:t>
            </w:r>
          </w:p>
        </w:tc>
        <w:tc>
          <w:tcPr>
            <w:tcW w:type="dxa" w:w="5102"/>
          </w:tcPr>
          <w:p>
            <w:r/>
            <w:r>
              <w:rPr>
                <w:b/>
                <w:color w:val="12325E"/>
                <w:sz w:val="17"/>
              </w:rPr>
              <w:t>Элементарная работа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12325E"/>
                <w:sz w:val="17"/>
              </w:rPr>
              <w:t>Управление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12325E"/>
                <w:sz w:val="17"/>
              </w:rPr>
              <w:t>Механизм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A341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Сбор и сверка метрик тестирования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Шаблон отчёта о качестве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QA-лид, Allure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A342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Анализ остаточных дефектов и рисков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Критерии приёмки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QA-лид, PM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A343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Формирование отчёта о качестве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Регламент отчётности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QA-лид, Confluence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A344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Решение о передаче продукта на внедрение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SLA, критерии приёмки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PM, техдир</w:t>
            </w:r>
          </w:p>
        </w:tc>
      </w:tr>
    </w:tbl>
    <w:p>
      <w:pPr>
        <w:spacing w:after="40"/>
      </w:pPr>
    </w:p>
    <w:p>
      <w:pPr>
        <w:pStyle w:val="Heading3"/>
      </w:pPr>
      <w:r>
        <w:t>Узел A41 «Развертывание на серверах»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359217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level3-a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59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Диаграмма узла A41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134"/>
          </w:tcPr>
          <w:p>
            <w:r/>
            <w:r>
              <w:rPr>
                <w:b/>
                <w:color w:val="12325E"/>
                <w:sz w:val="17"/>
              </w:rPr>
              <w:t>Узел</w:t>
            </w:r>
          </w:p>
        </w:tc>
        <w:tc>
          <w:tcPr>
            <w:tcW w:type="dxa" w:w="5102"/>
          </w:tcPr>
          <w:p>
            <w:r/>
            <w:r>
              <w:rPr>
                <w:b/>
                <w:color w:val="12325E"/>
                <w:sz w:val="17"/>
              </w:rPr>
              <w:t>Элементарная работа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12325E"/>
                <w:sz w:val="17"/>
              </w:rPr>
              <w:t>Управление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12325E"/>
                <w:sz w:val="17"/>
              </w:rPr>
              <w:t>Механизм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A411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Подготовка инфраструктуры (IaC)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Стандарты инфраструктуры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DevOps, Terraform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A412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Развёртывание сборки на стендах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Регламент развёртывания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DevOps, Docker/K8s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A413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Настройка мониторинга и резервного копирования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SLA, регламент эксплуатации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DevOps, мониторинг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A414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Приёмочные smoke-проверки среды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Чек-лист smoke-тестов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DevOps, QA</w:t>
            </w:r>
          </w:p>
        </w:tc>
      </w:tr>
    </w:tbl>
    <w:p>
      <w:pPr>
        <w:spacing w:after="40"/>
      </w:pPr>
    </w:p>
    <w:p>
      <w:pPr>
        <w:pStyle w:val="Heading3"/>
      </w:pPr>
      <w:r>
        <w:t>Узел A42 «Обучение пользователей»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452712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level3-a4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527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Диаграмма узла A42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134"/>
          </w:tcPr>
          <w:p>
            <w:r/>
            <w:r>
              <w:rPr>
                <w:b/>
                <w:color w:val="12325E"/>
                <w:sz w:val="17"/>
              </w:rPr>
              <w:t>Узел</w:t>
            </w:r>
          </w:p>
        </w:tc>
        <w:tc>
          <w:tcPr>
            <w:tcW w:type="dxa" w:w="5102"/>
          </w:tcPr>
          <w:p>
            <w:r/>
            <w:r>
              <w:rPr>
                <w:b/>
                <w:color w:val="12325E"/>
                <w:sz w:val="17"/>
              </w:rPr>
              <w:t>Элементарная работа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12325E"/>
                <w:sz w:val="17"/>
              </w:rPr>
              <w:t>Управление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12325E"/>
                <w:sz w:val="17"/>
              </w:rPr>
              <w:t>Механизм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A421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Подготовка пользовательских инструкций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Шаблон инструкции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Техписатель, Confluence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A422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Проведение обучения (ВКС/очно)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Программа обучения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Техписатель, PM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A423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Сбор и регистрация обратной связи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Регламент обратной связи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PM, CRM</w:t>
            </w:r>
          </w:p>
        </w:tc>
      </w:tr>
    </w:tbl>
    <w:p>
      <w:pPr>
        <w:spacing w:after="40"/>
      </w:pPr>
    </w:p>
    <w:p>
      <w:pPr>
        <w:pStyle w:val="Heading3"/>
      </w:pPr>
      <w:r>
        <w:t>Узел A43 «Демонстрация и приемка»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452712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level3-a4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527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Диаграмма узла A43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134"/>
          </w:tcPr>
          <w:p>
            <w:r/>
            <w:r>
              <w:rPr>
                <w:b/>
                <w:color w:val="12325E"/>
                <w:sz w:val="17"/>
              </w:rPr>
              <w:t>Узел</w:t>
            </w:r>
          </w:p>
        </w:tc>
        <w:tc>
          <w:tcPr>
            <w:tcW w:type="dxa" w:w="5102"/>
          </w:tcPr>
          <w:p>
            <w:r/>
            <w:r>
              <w:rPr>
                <w:b/>
                <w:color w:val="12325E"/>
                <w:sz w:val="17"/>
              </w:rPr>
              <w:t>Элементарная работа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12325E"/>
                <w:sz w:val="17"/>
              </w:rPr>
              <w:t>Управление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12325E"/>
                <w:sz w:val="17"/>
              </w:rPr>
              <w:t>Механизм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A431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Подготовка сценария демонстрации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Критерии приёмки из ТЗ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PM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A432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Демонстрация системы заказчику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Договор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PM, заказчик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A433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Согласование замечаний и фиксация протокола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Регламент приёмки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PM, заказчик</w:t>
            </w:r>
          </w:p>
        </w:tc>
      </w:tr>
    </w:tbl>
    <w:p>
      <w:pPr>
        <w:spacing w:after="40"/>
      </w:pPr>
    </w:p>
    <w:p>
      <w:pPr>
        <w:pStyle w:val="Heading3"/>
      </w:pPr>
      <w:r>
        <w:t>Узел A44 «Подписание акта»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359217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level3-a4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59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Диаграмма узла A44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1134"/>
          </w:tcPr>
          <w:p>
            <w:r/>
            <w:r>
              <w:rPr>
                <w:b/>
                <w:color w:val="12325E"/>
                <w:sz w:val="17"/>
              </w:rPr>
              <w:t>Узел</w:t>
            </w:r>
          </w:p>
        </w:tc>
        <w:tc>
          <w:tcPr>
            <w:tcW w:type="dxa" w:w="5102"/>
          </w:tcPr>
          <w:p>
            <w:r/>
            <w:r>
              <w:rPr>
                <w:b/>
                <w:color w:val="12325E"/>
                <w:sz w:val="17"/>
              </w:rPr>
              <w:t>Элементарная работа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12325E"/>
                <w:sz w:val="17"/>
              </w:rPr>
              <w:t>Управление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12325E"/>
                <w:sz w:val="17"/>
              </w:rPr>
              <w:t>Механизм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A441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Подготовка закрывающих документов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Регламент документооборота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Бухгалтерия, юрист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A442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Подписание акта сдачи-приёмки (ЭДО)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Договор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PM, заказчик, ЭДО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A443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Передача документов в бухгалтерию и архив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Регламент архивирования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Бухгалтерия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A444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Закрытие проекта, извлечённые уроки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Регламент управления проектами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PM, техдир</w:t>
            </w:r>
          </w:p>
        </w:tc>
      </w:tr>
    </w:tbl>
    <w:p>
      <w:pPr>
        <w:spacing w:after="40"/>
      </w:pPr>
    </w:p>
    <w:p>
      <w:pPr>
        <w:pStyle w:val="Heading2"/>
      </w:pPr>
      <w:r>
        <w:t>Дерево узлов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80775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-node-tre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807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Рис. — дерево узлов модели</w:t>
      </w:r>
    </w:p>
    <w:p>
      <w:pPr>
        <w:pStyle w:val="Heading2"/>
      </w:pPr>
      <w:r>
        <w:t>Проверка синтаксиса IDEF0</w:t>
      </w:r>
    </w:p>
    <w:p>
      <w:pPr>
        <w:spacing w:after="60"/>
      </w:pPr>
      <w:r>
        <w:rPr>
          <w:b w:val="0"/>
          <w:i w:val="0"/>
          <w:sz w:val="20"/>
        </w:rPr>
        <w:t>1. Контекст. Модель начинается контекстной диаграммой A-0 с единственным блоком A0 — основным бизнес-процессом организации; все внешние по отношению к нему элементы выражены стрелками ICOM.</w:t>
      </w:r>
    </w:p>
    <w:p>
      <w:pPr>
        <w:spacing w:after="60"/>
      </w:pPr>
      <w:r>
        <w:rPr>
          <w:b w:val="0"/>
          <w:i w:val="0"/>
          <w:sz w:val="20"/>
        </w:rPr>
        <w:t>2. Число блоков. На каждом уровне декомпозиции 3–6 блоков (на уровнях 1–3 соблюдено: 4, 4 и 3–4 блока соответственно).</w:t>
      </w:r>
    </w:p>
    <w:p>
      <w:pPr>
        <w:spacing w:after="60"/>
      </w:pPr>
      <w:r>
        <w:rPr>
          <w:b w:val="0"/>
          <w:i w:val="0"/>
          <w:sz w:val="20"/>
        </w:rPr>
        <w:t>3. ICOM блока. Каждый блок имеет не менее одного входа, выхода, управления и механизма; «чёрных дыр» (выход без входа) и «чудес» (выход без управления/механизма) нет.</w:t>
      </w:r>
    </w:p>
    <w:p>
      <w:pPr>
        <w:spacing w:after="60"/>
      </w:pPr>
      <w:r>
        <w:rPr>
          <w:b w:val="0"/>
          <w:i w:val="0"/>
          <w:sz w:val="20"/>
        </w:rPr>
        <w:t>4. Нумерация. Номера блоков назначаются по порядку слева направо и наследуют номер родителя: A1 → A11…A14 → A111…; номер указывается в правом нижнем углу блока (в Dia — поле Activity/Data identifier).</w:t>
      </w:r>
    </w:p>
    <w:p>
      <w:pPr>
        <w:spacing w:after="60"/>
      </w:pPr>
      <w:r>
        <w:rPr>
          <w:b w:val="0"/>
          <w:i w:val="0"/>
          <w:sz w:val="20"/>
        </w:rPr>
        <w:t>5. Декомпозиция. Выполнена на три уровня: уровень 1 (A1–A4), уровень 2 (A11–A44), уровень 3 (A111–A444). Глубина остановлена на элементарных работах, выполняемых одной ролью без промежуточных решений.</w:t>
      </w:r>
    </w:p>
    <w:p>
      <w:pPr>
        <w:spacing w:after="60"/>
      </w:pPr>
      <w:r>
        <w:rPr>
          <w:b w:val="0"/>
          <w:i w:val="0"/>
          <w:sz w:val="20"/>
        </w:rPr>
        <w:t>6. Балансировка. Границы входов/выходов дочерней диаграммы совпадают с входами/выходами родительского блока: например, выходы A1 (ТЗ, документация, макеты) формируются выходами блоков A12, A13, A14 диаграммы A1.</w:t>
      </w:r>
    </w:p>
    <w:p>
      <w:pPr>
        <w:spacing w:after="60"/>
      </w:pPr>
      <w:r>
        <w:rPr>
          <w:b w:val="0"/>
          <w:i w:val="0"/>
          <w:sz w:val="20"/>
        </w:rPr>
        <w:t>7. Обратные связи. Циклы исправления дефектов (A3 → A2) и возвраты на регрессию показаны явными стрелками, что соответствует модели «как есть».</w:t>
      </w:r>
    </w:p>
    <w:p>
      <w:pPr>
        <w:pStyle w:val="Heading2"/>
      </w:pPr>
      <w:r>
        <w:t>Приложение: Dia (SADT/IDEF0)</w:t>
      </w:r>
    </w:p>
    <w:p>
      <w:pPr>
        <w:spacing w:after="60"/>
      </w:pPr>
      <w:r>
        <w:rPr>
          <w:b w:val="0"/>
          <w:i w:val="0"/>
          <w:sz w:val="20"/>
        </w:rPr>
        <w:t>• Диаграммы подготовлены в нотации IDEF0 и продублированы в формате редактора Dia (библиотека элементов «SADT/IDEF0», объекты «SADT - box» и «SADT - arrow»): каталог dia/ содержит по одному файлу .dia на каждую диаграмму модели (22 файла).</w:t>
      </w:r>
    </w:p>
    <w:p>
      <w:pPr>
        <w:spacing w:after="60"/>
      </w:pPr>
      <w:r>
        <w:rPr>
          <w:b w:val="0"/>
          <w:i w:val="0"/>
          <w:sz w:val="20"/>
        </w:rPr>
        <w:t>• В Dia блок деятельности создаётся инструментом «SADT - box»: текст блока — наименование работы, поле Activity/Data identifier — номер узла (A1, A11, A111…). Стрелки ICOM рисуются инструментом «SADT - arrow» с ортогональной трассировкой; подписи стрелок добавляются объектом «Standard - Text».</w:t>
      </w:r>
    </w:p>
    <w:p>
      <w:pPr>
        <w:spacing w:after="60"/>
      </w:pPr>
      <w:r>
        <w:rPr>
          <w:b w:val="0"/>
          <w:i w:val="0"/>
          <w:sz w:val="20"/>
        </w:rPr>
        <w:t>• Порядок сборки в Dia: включить панель «Sheets and Objects» → выбрать лист SADT/IDEF0 → перенести блоки согласно координатам и номерам из таблиц отчёта → соединить стрелками по спецификации потоков → подписать стрелки и проставить идентификаторы узлов.</w:t>
      </w:r>
    </w:p>
    <w:p>
      <w:pPr>
        <w:spacing w:after="60"/>
      </w:pPr>
      <w:r>
        <w:rPr>
          <w:b w:val="0"/>
          <w:i w:val="0"/>
          <w:sz w:val="20"/>
        </w:rPr>
        <w:t>• Файлы .dia сгенерированы программно (tools/build_dia.py) в формате Dia XML (gzip) и открываются без конвертации: объекты содержат ортогональные точки стрелок (orth_points) и идентификаторы узлов, поэтому диаграмма в Dia совпадает с SVG/PNG-версией.</w:t>
      </w:r>
    </w:p>
    <w:sectPr w:rsidR="00FC693F" w:rsidRPr="0006063C" w:rsidSect="00034616"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325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32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2325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