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0"/>
        <w:jc w:val="center"/>
      </w:pPr>
      <w:r>
        <w:t xml:space="preserve">PHASE 1 REPORT</w:t>
      </w:r>
    </w:p>
    <w:p>
      <w:pPr>
        <w:spacing w:after="400"/>
        <w:jc w:val="center"/>
      </w:pPr>
      <w:r>
        <w:rPr>
          <w:b/>
          <w:bCs/>
          <w:color w:val="1F3864"/>
          <w:sz w:val="28"/>
          <w:szCs w:val="28"/>
        </w:rPr>
        <w:t xml:space="preserve">Literature Review &amp; Research — Consolidated Group Report</w:t>
      </w:r>
    </w:p>
    <w:p>
      <w:pPr>
        <w:spacing w:after="60"/>
        <w:jc w:val="center"/>
      </w:pPr>
      <w:r>
        <w:rPr>
          <w:b/>
          <w:bCs/>
          <w:sz w:val="22"/>
          <w:szCs w:val="22"/>
        </w:rPr>
        <w:t xml:space="preserve">Project</w:t>
      </w:r>
    </w:p>
    <w:p>
      <w:pPr>
        <w:spacing w:after="400"/>
        <w:jc w:val="center"/>
      </w:pPr>
      <w:r>
        <w:rPr>
          <w:sz w:val="22"/>
          <w:szCs w:val="22"/>
        </w:rPr>
        <w:t xml:space="preserve">Machine Learning-Based Student Mental Health Assessment System with Comparative Model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0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3000"/>
            <w:tcMar>
              <w:top w:type="dxa" w:w="80"/>
              <w:left w:type="dxa" w:w="100"/>
              <w:bottom w:type="dxa" w:w="80"/>
              <w:right w:type="dxa" w:w="100"/>
            </w:tcMar>
            <w:vAlign w:val="center"/>
          </w:tcPr>
          <w:p>
            <w:r>
              <w:rPr>
                <w:b w:val="false"/>
                <w:bCs w:val="false"/>
                <w:sz w:val="20"/>
                <w:szCs w:val="20"/>
              </w:rPr>
              <w:t xml:space="preserve">Submitted To</w:t>
            </w:r>
          </w:p>
        </w:tc>
        <w:tc>
          <w:tcPr>
            <w:tcW w:type="dxa" w:w="7080"/>
            <w:tcMar>
              <w:top w:type="dxa" w:w="80"/>
              <w:left w:type="dxa" w:w="100"/>
              <w:bottom w:type="dxa" w:w="80"/>
              <w:right w:type="dxa" w:w="100"/>
            </w:tcMar>
            <w:vAlign w:val="center"/>
          </w:tcPr>
          <w:p>
            <w:r>
              <w:rPr>
                <w:b w:val="false"/>
                <w:bCs w:val="false"/>
                <w:sz w:val="20"/>
                <w:szCs w:val="20"/>
              </w:rPr>
              <w:t xml:space="preserve">Sir Umar Ramazan</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Course</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Machine Learning</w:t>
            </w:r>
          </w:p>
        </w:tc>
      </w:tr>
      <w:tr>
        <w:tc>
          <w:tcPr>
            <w:tcW w:type="dxa" w:w="3000"/>
            <w:tcMar>
              <w:top w:type="dxa" w:w="80"/>
              <w:left w:type="dxa" w:w="100"/>
              <w:bottom w:type="dxa" w:w="80"/>
              <w:right w:type="dxa" w:w="100"/>
            </w:tcMar>
            <w:vAlign w:val="center"/>
          </w:tcPr>
          <w:p>
            <w:r>
              <w:rPr>
                <w:b w:val="false"/>
                <w:bCs w:val="false"/>
                <w:sz w:val="20"/>
                <w:szCs w:val="20"/>
              </w:rPr>
              <w:t xml:space="preserve">Semester</w:t>
            </w:r>
          </w:p>
        </w:tc>
        <w:tc>
          <w:tcPr>
            <w:tcW w:type="dxa" w:w="7080"/>
            <w:tcMar>
              <w:top w:type="dxa" w:w="80"/>
              <w:left w:type="dxa" w:w="100"/>
              <w:bottom w:type="dxa" w:w="80"/>
              <w:right w:type="dxa" w:w="100"/>
            </w:tcMar>
            <w:vAlign w:val="center"/>
          </w:tcPr>
          <w:p>
            <w:r>
              <w:rPr>
                <w:b w:val="false"/>
                <w:bCs w:val="false"/>
                <w:sz w:val="20"/>
                <w:szCs w:val="20"/>
              </w:rPr>
              <w:t xml:space="preserve">6th</w:t>
            </w:r>
          </w:p>
        </w:tc>
      </w:tr>
      <w:tr>
        <w:tc>
          <w:tcPr>
            <w:tcW w:type="dxa" w:w="3000"/>
            <w:shd w:fill="F2F2F2" w:val="clear"/>
            <w:tcMar>
              <w:top w:type="dxa" w:w="80"/>
              <w:left w:type="dxa" w:w="100"/>
              <w:bottom w:type="dxa" w:w="80"/>
              <w:right w:type="dxa" w:w="100"/>
            </w:tcMar>
            <w:vAlign w:val="center"/>
          </w:tcPr>
          <w:p>
            <w:r>
              <w:rPr>
                <w:b w:val="false"/>
                <w:bCs w:val="false"/>
                <w:sz w:val="20"/>
                <w:szCs w:val="20"/>
              </w:rPr>
              <w:t xml:space="preserve">Department</w:t>
            </w:r>
          </w:p>
        </w:tc>
        <w:tc>
          <w:tcPr>
            <w:tcW w:type="dxa" w:w="7080"/>
            <w:shd w:fill="F2F2F2" w:val="clear"/>
            <w:tcMar>
              <w:top w:type="dxa" w:w="80"/>
              <w:left w:type="dxa" w:w="100"/>
              <w:bottom w:type="dxa" w:w="80"/>
              <w:right w:type="dxa" w:w="100"/>
            </w:tcMar>
            <w:vAlign w:val="center"/>
          </w:tcPr>
          <w:p>
            <w:r>
              <w:rPr>
                <w:b w:val="false"/>
                <w:bCs w:val="false"/>
                <w:sz w:val="20"/>
                <w:szCs w:val="20"/>
              </w:rPr>
              <w:t xml:space="preserve">Computer Science</w:t>
            </w:r>
          </w:p>
        </w:tc>
      </w:tr>
    </w:tbl>
    <w:p>
      <w:pPr>
        <w:spacing w:after="200"/>
      </w:pPr>
    </w:p>
    <w:p>
      <w:pPr>
        <w:spacing w:after="100"/>
      </w:pPr>
      <w:r>
        <w:rPr>
          <w:b/>
          <w:bCs/>
        </w:rPr>
        <w:t xml:space="preserve">Group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880"/>
      </w:tblGrid>
      <w:tr>
        <w:trPr>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w:t>
            </w:r>
          </w:p>
        </w:tc>
        <w:tc>
          <w:tcPr>
            <w:tcW w:type="dxa" w:w="50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3880"/>
            <w:shd w:fill="1F3864" w:val="clear"/>
            <w:tcMar>
              <w:top w:type="dxa" w:w="80"/>
              <w:left w:type="dxa" w:w="100"/>
              <w:bottom w:type="dxa" w:w="80"/>
              <w:right w:type="dxa" w:w="100"/>
            </w:tcMar>
            <w:vAlign w:val="center"/>
          </w:tcPr>
          <w:p>
            <w:r>
              <w:rPr>
                <w:b/>
                <w:bCs/>
                <w:color w:val="FFFFFF"/>
                <w:sz w:val="20"/>
                <w:szCs w:val="20"/>
              </w:rPr>
              <w:t xml:space="preserve">Roll Number</w:t>
            </w:r>
          </w:p>
        </w:tc>
      </w:tr>
      <w:tr>
        <w:tc>
          <w:tcPr>
            <w:tcW w:type="dxa" w:w="1200"/>
            <w:tcMar>
              <w:top w:type="dxa" w:w="80"/>
              <w:left w:type="dxa" w:w="100"/>
              <w:bottom w:type="dxa" w:w="80"/>
              <w:right w:type="dxa" w:w="100"/>
            </w:tcMar>
            <w:vAlign w:val="center"/>
          </w:tcPr>
          <w:p>
            <w:r>
              <w:rPr>
                <w:b w:val="false"/>
                <w:bCs w:val="false"/>
                <w:sz w:val="20"/>
                <w:szCs w:val="20"/>
              </w:rPr>
              <w:t xml:space="preserve">1.</w:t>
            </w:r>
          </w:p>
        </w:tc>
        <w:tc>
          <w:tcPr>
            <w:tcW w:type="dxa" w:w="5000"/>
            <w:tcMar>
              <w:top w:type="dxa" w:w="80"/>
              <w:left w:type="dxa" w:w="100"/>
              <w:bottom w:type="dxa" w:w="80"/>
              <w:right w:type="dxa" w:w="100"/>
            </w:tcMar>
            <w:vAlign w:val="center"/>
          </w:tcPr>
          <w:p>
            <w:r>
              <w:rPr>
                <w:b w:val="false"/>
                <w:bCs w:val="false"/>
                <w:sz w:val="20"/>
                <w:szCs w:val="20"/>
              </w:rPr>
              <w:t xml:space="preserve">Shifa Aftab</w:t>
            </w:r>
          </w:p>
        </w:tc>
        <w:tc>
          <w:tcPr>
            <w:tcW w:type="dxa" w:w="3880"/>
            <w:tcMar>
              <w:top w:type="dxa" w:w="80"/>
              <w:left w:type="dxa" w:w="100"/>
              <w:bottom w:type="dxa" w:w="80"/>
              <w:right w:type="dxa" w:w="100"/>
            </w:tcMar>
            <w:vAlign w:val="center"/>
          </w:tcPr>
          <w:p>
            <w:r>
              <w:rPr>
                <w:b w:val="false"/>
                <w:bCs w:val="false"/>
                <w:sz w:val="20"/>
                <w:szCs w:val="20"/>
              </w:rPr>
              <w:t xml:space="preserve">231370043</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2.</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Tayyaba Arshad</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231370183</w:t>
            </w:r>
          </w:p>
        </w:tc>
      </w:tr>
      <w:tr>
        <w:tc>
          <w:tcPr>
            <w:tcW w:type="dxa" w:w="1200"/>
            <w:tcMar>
              <w:top w:type="dxa" w:w="80"/>
              <w:left w:type="dxa" w:w="100"/>
              <w:bottom w:type="dxa" w:w="80"/>
              <w:right w:type="dxa" w:w="100"/>
            </w:tcMar>
            <w:vAlign w:val="center"/>
          </w:tcPr>
          <w:p>
            <w:r>
              <w:rPr>
                <w:b w:val="false"/>
                <w:bCs w:val="false"/>
                <w:sz w:val="20"/>
                <w:szCs w:val="20"/>
              </w:rPr>
              <w:t xml:space="preserve">3.</w:t>
            </w:r>
          </w:p>
        </w:tc>
        <w:tc>
          <w:tcPr>
            <w:tcW w:type="dxa" w:w="5000"/>
            <w:tcMar>
              <w:top w:type="dxa" w:w="80"/>
              <w:left w:type="dxa" w:w="100"/>
              <w:bottom w:type="dxa" w:w="80"/>
              <w:right w:type="dxa" w:w="100"/>
            </w:tcMar>
            <w:vAlign w:val="center"/>
          </w:tcPr>
          <w:p>
            <w:r>
              <w:rPr>
                <w:b w:val="false"/>
                <w:bCs w:val="false"/>
                <w:sz w:val="20"/>
                <w:szCs w:val="20"/>
              </w:rPr>
              <w:t xml:space="preserve">Sunbal Nadeem</w:t>
            </w:r>
          </w:p>
        </w:tc>
        <w:tc>
          <w:tcPr>
            <w:tcW w:type="dxa" w:w="3880"/>
            <w:tcMar>
              <w:top w:type="dxa" w:w="80"/>
              <w:left w:type="dxa" w:w="100"/>
              <w:bottom w:type="dxa" w:w="80"/>
              <w:right w:type="dxa" w:w="100"/>
            </w:tcMar>
            <w:vAlign w:val="center"/>
          </w:tcPr>
          <w:p>
            <w:r>
              <w:rPr>
                <w:b w:val="false"/>
                <w:bCs w:val="false"/>
                <w:sz w:val="20"/>
                <w:szCs w:val="20"/>
              </w:rPr>
              <w:t xml:space="preserve">231370014</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4.</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Khadija Yasmin</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231370038</w:t>
            </w:r>
          </w:p>
        </w:tc>
      </w:tr>
      <w:tr>
        <w:tc>
          <w:tcPr>
            <w:tcW w:type="dxa" w:w="1200"/>
            <w:tcMar>
              <w:top w:type="dxa" w:w="80"/>
              <w:left w:type="dxa" w:w="100"/>
              <w:bottom w:type="dxa" w:w="80"/>
              <w:right w:type="dxa" w:w="100"/>
            </w:tcMar>
            <w:vAlign w:val="center"/>
          </w:tcPr>
          <w:p>
            <w:r>
              <w:rPr>
                <w:b w:val="false"/>
                <w:bCs w:val="false"/>
                <w:sz w:val="20"/>
                <w:szCs w:val="20"/>
              </w:rPr>
              <w:t xml:space="preserve">5.</w:t>
            </w:r>
          </w:p>
        </w:tc>
        <w:tc>
          <w:tcPr>
            <w:tcW w:type="dxa" w:w="5000"/>
            <w:tcMar>
              <w:top w:type="dxa" w:w="80"/>
              <w:left w:type="dxa" w:w="100"/>
              <w:bottom w:type="dxa" w:w="80"/>
              <w:right w:type="dxa" w:w="100"/>
            </w:tcMar>
            <w:vAlign w:val="center"/>
          </w:tcPr>
          <w:p>
            <w:r>
              <w:rPr>
                <w:b w:val="false"/>
                <w:bCs w:val="false"/>
                <w:sz w:val="20"/>
                <w:szCs w:val="20"/>
              </w:rPr>
              <w:t xml:space="preserve">Zainib</w:t>
            </w:r>
          </w:p>
        </w:tc>
        <w:tc>
          <w:tcPr>
            <w:tcW w:type="dxa" w:w="3880"/>
            <w:tcMar>
              <w:top w:type="dxa" w:w="80"/>
              <w:left w:type="dxa" w:w="100"/>
              <w:bottom w:type="dxa" w:w="80"/>
              <w:right w:type="dxa" w:w="100"/>
            </w:tcMar>
            <w:vAlign w:val="center"/>
          </w:tcPr>
          <w:p>
            <w:r>
              <w:rPr>
                <w:b w:val="false"/>
                <w:bCs w:val="false"/>
                <w:sz w:val="20"/>
                <w:szCs w:val="20"/>
              </w:rPr>
              <w:t xml:space="preserve">231370254</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5000"/>
            <w:shd w:fill="F2F2F2" w:val="clear"/>
            <w:tcMar>
              <w:top w:type="dxa" w:w="80"/>
              <w:left w:type="dxa" w:w="100"/>
              <w:bottom w:type="dxa" w:w="80"/>
              <w:right w:type="dxa" w:w="100"/>
            </w:tcMar>
            <w:vAlign w:val="center"/>
          </w:tcPr>
          <w:p>
            <w:r>
              <w:rPr>
                <w:b w:val="false"/>
                <w:bCs w:val="false"/>
                <w:sz w:val="20"/>
                <w:szCs w:val="20"/>
              </w:rPr>
              <w:t xml:space="preserve">Saleema Sadaqat</w:t>
            </w:r>
          </w:p>
        </w:tc>
        <w:tc>
          <w:tcPr>
            <w:tcW w:type="dxa" w:w="3880"/>
            <w:shd w:fill="F2F2F2" w:val="clear"/>
            <w:tcMar>
              <w:top w:type="dxa" w:w="80"/>
              <w:left w:type="dxa" w:w="100"/>
              <w:bottom w:type="dxa" w:w="80"/>
              <w:right w:type="dxa" w:w="100"/>
            </w:tcMar>
            <w:vAlign w:val="center"/>
          </w:tcPr>
          <w:p>
            <w:r>
              <w:rPr>
                <w:b w:val="false"/>
                <w:bCs w:val="false"/>
                <w:sz w:val="20"/>
                <w:szCs w:val="20"/>
              </w:rPr>
              <w:t xml:space="preserve">231370052</w:t>
            </w:r>
          </w:p>
        </w:tc>
      </w:tr>
    </w:tbl>
    <w:p>
      <w:r>
        <w:br w:type="page"/>
      </w:r>
    </w:p>
    <w:p>
      <w:pPr>
        <w:pStyle w:val="Heading1"/>
        <w:spacing w:after="160" w:before="320"/>
      </w:pPr>
      <w:r>
        <w:t xml:space="preserve">Editorial Note — Please Read Before Submitting</w:t>
      </w:r>
    </w:p>
    <w:p>
      <w:pPr>
        <w:pBdr>
          <w:top w:val="single" w:color="BF9000" w:sz="4"/>
          <w:bottom w:val="single" w:color="BF9000" w:sz="4"/>
          <w:left w:val="single" w:color="BF9000" w:sz="4"/>
          <w:right w:val="single" w:color="BF9000" w:sz="4"/>
        </w:pBdr>
        <w:shd w:fill="FFF2CC" w:val="clear"/>
        <w:spacing w:after="200" w:before="100"/>
      </w:pPr>
      <w:r>
        <w:rPr>
          <w:b/>
          <w:bCs/>
        </w:rPr>
        <w:t xml:space="preserve">Duplicate submission found: </w:t>
      </w:r>
      <w:r>
        <w:t xml:space="preserve">The file submitted as “Phase 1 Report_Team Member 6” is a near-identical copy of Zainib's report (231370254_ZAINIB.docx) — same paper, same content, only minor formatting differences. This means one member's literature review is effectively missing. Per the group members list in the proposal, the sixth member is Saleema Sadaqat; her individual Phase 1 report still needs to be submitted before this consolidated report is finalized.</w:t>
      </w:r>
    </w:p>
    <w:p>
      <w:pPr>
        <w:pBdr>
          <w:top w:val="single" w:color="BF9000" w:sz="4"/>
          <w:bottom w:val="single" w:color="BF9000" w:sz="4"/>
          <w:left w:val="single" w:color="BF9000" w:sz="4"/>
          <w:right w:val="single" w:color="BF9000" w:sz="4"/>
        </w:pBdr>
        <w:shd w:fill="FFF2CC" w:val="clear"/>
        <w:spacing w:after="200" w:before="100"/>
      </w:pPr>
      <w:r>
        <w:rPr>
          <w:b/>
          <w:bCs/>
        </w:rPr>
        <w:t xml:space="preserve">Author attribution unclear: </w:t>
      </w:r>
      <w:r>
        <w:t xml:space="preserve">Reports 3, 4, and 5 below (Prediction of Mental Health Problem Using Annual Student Health Survey; Protecting Student Mental Health with a Context-Aware ML Framework; Prediction of Depression Level through Naive Bayes) did not include a name or roll number, unlike Reports 1, 2, and 6 which did. Based on the proposal's member list, these most likely belong to Sunbal Nadeem and Khadija Yasmin (in some order), with the sixth slot intended for Saleema Sadaqat. Please confirm the correct member for each and update the “Reviewed by” line before submitting.</w:t>
      </w:r>
    </w:p>
    <w:p>
      <w:pPr>
        <w:pStyle w:val="Heading1"/>
        <w:spacing w:after="160" w:before="320"/>
      </w:pPr>
      <w:r>
        <w:t xml:space="preserve">1. Introduction</w:t>
      </w:r>
    </w:p>
    <w:p>
      <w:pPr>
        <w:spacing w:after="140"/>
      </w:pPr>
      <w:r>
        <w:t xml:space="preserve">As outlined in the project proposal, the research component of this project required each group member to study one recent research paper related to student depression prediction, ML-based mental health assessment, PHQ-based classification systems, or comparative ML studies in healthcare, analyzing the datasets, algorithms, evaluation methods, and findings used in each. This report consolidates all six individual literature review reports into a single group submission for Phase 1.</w:t>
      </w:r>
    </w:p>
    <w:p>
      <w:pPr>
        <w:spacing w:after="140"/>
      </w:pPr>
      <w:r>
        <w:t xml:space="preserve">The six papers reviewed span a range of approaches — from interpretable hierarchical neural networks and ensemble learning to Naive Bayes and digital phenotyping via smartphone sensors — giving the group a broad view of how machine learning is currently applied to student and adolescent mental health prediction.</w:t>
      </w:r>
    </w:p>
    <w:p>
      <w:pPr>
        <w:pStyle w:val="Heading1"/>
        <w:spacing w:after="160" w:before="320"/>
      </w:pPr>
      <w:r>
        <w:t xml:space="preserve">2. Individual Literature Reviews</w:t>
      </w:r>
    </w:p>
    <w:p>
      <w:pPr>
        <w:pStyle w:val="Heading2"/>
        <w:spacing w:after="40" w:before="320"/>
      </w:pPr>
      <w:r>
        <w:rPr>
          <w:b/>
          <w:bCs/>
          <w:color w:val="1F3864"/>
          <w:sz w:val="24"/>
          <w:szCs w:val="24"/>
        </w:rPr>
        <w:t xml:space="preserve">Report 1: </w:t>
      </w:r>
      <w:r>
        <w:rPr>
          <w:b/>
          <w:bCs/>
          <w:sz w:val="24"/>
          <w:szCs w:val="24"/>
        </w:rPr>
        <w:t xml:space="preserve">Predicting and Understanding College Student Mental Health with Interpretable Machine Learning</w:t>
      </w:r>
    </w:p>
    <w:p>
      <w:pPr>
        <w:spacing w:after="140"/>
      </w:pPr>
      <w:r>
        <w:rPr>
          <w:i/>
          <w:iCs/>
          <w:color w:val="595959"/>
          <w:sz w:val="20"/>
          <w:szCs w:val="20"/>
        </w:rPr>
        <w:t xml:space="preserve">Reviewed by: Shifa Aftab (231370043)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Meghna Roy Chowdhury, Wei Xuan, Shreyas Sen, Yixue Zhao, Yi Ding</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2025 — ACM/IEEE International Conference on Connected Health (CHASE 2025)</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I-HOPE (proposed, two-stage hierarchical neural network) compared against three baselines: a single neural network on raw features, personalized neural networks per student, and personalized networks using only the top 50% Random-Forest-selected features.</w:t>
            </w:r>
          </w:p>
        </w:tc>
      </w:tr>
    </w:tbl>
    <w:p>
      <w:pPr>
        <w:spacing w:after="120"/>
      </w:pPr>
    </w:p>
    <w:p>
      <w:pPr>
        <w:spacing w:after="80" w:before="160"/>
      </w:pPr>
      <w:r>
        <w:rPr>
          <w:b/>
          <w:bCs/>
          <w:sz w:val="22"/>
          <w:szCs w:val="22"/>
        </w:rPr>
        <w:t xml:space="preserve">Problem Addressed</w:t>
      </w:r>
    </w:p>
    <w:p>
      <w:pPr>
        <w:spacing w:after="140"/>
      </w:pPr>
      <w:r>
        <w:t xml:space="preserve">Existing ML-based mental health prediction systems tend to rely on small datasets, black-box models with little explanation, and population-level analysis rather than personalized insight. The authors propose I-HOPE, an interpretable hierarchical model for personalized mental health prediction, aiming to be both accurate and explainable.</w:t>
      </w:r>
    </w:p>
    <w:p>
      <w:pPr>
        <w:spacing w:after="80" w:before="160"/>
      </w:pPr>
      <w:r>
        <w:rPr>
          <w:b/>
          <w:bCs/>
          <w:sz w:val="22"/>
          <w:szCs w:val="22"/>
        </w:rPr>
        <w:t xml:space="preserve">Dataset</w:t>
      </w:r>
    </w:p>
    <w:p>
      <w:pPr>
        <w:spacing w:after="140"/>
      </w:pPr>
      <w:r>
        <w:t xml:space="preserve">College Experience Study (CES) — the longest longitudinal mobile-sensing dataset for college students: 217 Dartmouth College students, 210,000+ behavioral records, collected 2017–2022 (pre-COVID and COVID-19 periods). Combines passive smartphone sensing (mobility, activity, sleep, phone usage, social interaction) with EMA survey responses, labeled using PHQ-4 severity (Normal / Mild / Moderate / Severe).</w:t>
      </w:r>
    </w:p>
    <w:p>
      <w:pPr>
        <w:spacing w:after="80" w:before="160"/>
      </w:pPr>
      <w:r>
        <w:rPr>
          <w:b/>
          <w:bCs/>
          <w:sz w:val="22"/>
          <w:szCs w:val="22"/>
        </w:rPr>
        <w:t xml:space="preserve">Methodology</w:t>
      </w:r>
    </w:p>
    <w:p>
      <w:pPr>
        <w:spacing w:after="140"/>
      </w:pPr>
      <w:r>
        <w:t xml:space="preserve">Stage 1 groups 35 behavioral features into five interaction labels (Leisure, Me Time, Phone Time, Sleep, Social Time) using Random Forest feature importance. Stage 2 feeds these five interaction scores into a small neural network (ReLU hidden layers, softmax output, Adam optimizer, lr=0.001, 50 epochs) to predict the PHQ-4 category, on an 80/20 train/test split.</w:t>
      </w:r>
    </w:p>
    <w:p>
      <w:pPr>
        <w:spacing w:after="80" w:before="160"/>
      </w:pPr>
      <w:r>
        <w:rPr>
          <w:b/>
          <w:bCs/>
          <w:sz w:val="22"/>
          <w:szCs w:val="22"/>
        </w:rPr>
        <w:t xml:space="preserve">Evaluation Metrics</w:t>
      </w:r>
    </w:p>
    <w:p>
      <w:pPr>
        <w:spacing w:after="140"/>
      </w:pPr>
      <w:r>
        <w:t xml:space="preserve">Accuracy, Precision, Recall, F1-Score, Confusion Matrix.</w:t>
      </w:r>
    </w:p>
    <w:p>
      <w:pPr>
        <w:spacing w:after="80" w:before="160"/>
      </w:pPr>
      <w:r>
        <w:rPr>
          <w:b/>
          <w:bCs/>
          <w:sz w:val="22"/>
          <w:szCs w:val="22"/>
        </w:rPr>
        <w:t xml:space="preserve">Results</w:t>
      </w:r>
    </w:p>
    <w:p>
      <w:pPr>
        <w:spacing w:after="140"/>
      </w:pPr>
      <w:r>
        <w:t xml:space="preserve">I-HOPE reached 91% accuracy, clearly ahead of Baseline 1 (60%), Baseline 3 (65%), and Baseline 2 (70%).</w:t>
      </w:r>
    </w:p>
    <w:p>
      <w:pPr>
        <w:spacing w:after="80" w:before="160"/>
      </w:pPr>
      <w:r>
        <w:rPr>
          <w:b/>
          <w:bCs/>
          <w:sz w:val="22"/>
          <w:szCs w:val="22"/>
        </w:rPr>
        <w:t xml:space="preserve">Key Findings</w:t>
      </w:r>
    </w:p>
    <w:p>
      <w:pPr>
        <w:pStyle w:val="ListParagraph"/>
        <w:numPr>
          <w:ilvl w:val="0"/>
          <w:numId w:val="2"/>
        </w:numPr>
        <w:spacing w:after="50"/>
      </w:pPr>
      <w:r>
        <w:t xml:space="preserve">Interpretable models can match or beat black-box accuracy.</w:t>
      </w:r>
    </w:p>
    <w:p>
      <w:pPr>
        <w:pStyle w:val="ListParagraph"/>
        <w:numPr>
          <w:ilvl w:val="0"/>
          <w:numId w:val="2"/>
        </w:numPr>
        <w:spacing w:after="50"/>
      </w:pPr>
      <w:r>
        <w:t xml:space="preserve">Sleep, social interaction, leisure, phone usage, and personal time all carry predictive signal.</w:t>
      </w:r>
    </w:p>
    <w:p>
      <w:pPr>
        <w:pStyle w:val="ListParagraph"/>
        <w:numPr>
          <w:ilvl w:val="0"/>
          <w:numId w:val="2"/>
        </w:numPr>
        <w:spacing w:after="50"/>
      </w:pPr>
      <w:r>
        <w:t xml:space="preserve">Personalized models outperform population-level models.</w:t>
      </w:r>
    </w:p>
    <w:p>
      <w:pPr>
        <w:spacing w:after="80" w:before="160"/>
      </w:pPr>
      <w:r>
        <w:rPr>
          <w:b/>
          <w:bCs/>
          <w:sz w:val="22"/>
          <w:szCs w:val="22"/>
        </w:rPr>
        <w:t xml:space="preserve">Limitations</w:t>
      </w:r>
    </w:p>
    <w:p>
      <w:pPr>
        <w:pStyle w:val="ListParagraph"/>
        <w:numPr>
          <w:ilvl w:val="0"/>
          <w:numId w:val="2"/>
        </w:numPr>
        <w:spacing w:after="50"/>
      </w:pPr>
      <w:r>
        <w:t xml:space="preserve">Single-university sample limits generalizability.</w:t>
      </w:r>
    </w:p>
    <w:p>
      <w:pPr>
        <w:pStyle w:val="ListParagraph"/>
        <w:numPr>
          <w:ilvl w:val="0"/>
          <w:numId w:val="2"/>
        </w:numPr>
        <w:spacing w:after="50"/>
      </w:pPr>
      <w:r>
        <w:t xml:space="preserve">Sensing data cannot capture every relevant factor.</w:t>
      </w:r>
    </w:p>
    <w:p>
      <w:pPr>
        <w:pStyle w:val="ListParagraph"/>
        <w:numPr>
          <w:ilvl w:val="0"/>
          <w:numId w:val="2"/>
        </w:numPr>
        <w:spacing w:after="50"/>
      </w:pPr>
      <w:r>
        <w:t xml:space="preserve">Predicts risk but does not diagnose or recommend treatment.</w:t>
      </w:r>
    </w:p>
    <w:p>
      <w:pPr>
        <w:spacing w:after="80" w:before="160"/>
      </w:pPr>
      <w:r>
        <w:rPr>
          <w:b/>
          <w:bCs/>
          <w:sz w:val="22"/>
          <w:szCs w:val="22"/>
        </w:rPr>
        <w:t xml:space="preserve">Conclusion</w:t>
      </w:r>
    </w:p>
    <w:p>
      <w:pPr>
        <w:spacing w:after="140"/>
      </w:pPr>
      <w:r>
        <w:t xml:space="preserve">I-HOPE demonstrates that an interpretable, hierarchical design can achieve strong predictive accuracy (91%) while still explaining which behavioral categories drive each prediction, supporting the case for personalized, explainable mental health screening tools.</w:t>
      </w:r>
    </w:p>
    <w:p>
      <w:pPr>
        <w:spacing w:after="140"/>
      </w:pPr>
      <w:r>
        <w:rPr>
          <w:i/>
          <w:iCs/>
          <w:color w:val="595959"/>
          <w:sz w:val="18"/>
          <w:szCs w:val="18"/>
        </w:rPr>
        <w:t xml:space="preserve">Paper link: https://arxiv.org/abs/2503.08002</w:t>
      </w:r>
    </w:p>
    <w:p>
      <w:pPr>
        <w:pStyle w:val="Heading2"/>
        <w:spacing w:after="40" w:before="320"/>
      </w:pPr>
      <w:r>
        <w:rPr>
          <w:b/>
          <w:bCs/>
          <w:color w:val="1F3864"/>
          <w:sz w:val="24"/>
          <w:szCs w:val="24"/>
        </w:rPr>
        <w:t xml:space="preserve">Report 2: </w:t>
      </w:r>
      <w:r>
        <w:rPr>
          <w:b/>
          <w:bCs/>
          <w:sz w:val="24"/>
          <w:szCs w:val="24"/>
        </w:rPr>
        <w:t xml:space="preserve">Academic-Related Stressors Predict Depressive Symptoms in Graduate Students: A Machine Learning Study</w:t>
      </w:r>
    </w:p>
    <w:p>
      <w:pPr>
        <w:spacing w:after="140"/>
      </w:pPr>
      <w:r>
        <w:rPr>
          <w:i/>
          <w:iCs/>
          <w:color w:val="595959"/>
          <w:sz w:val="20"/>
          <w:szCs w:val="20"/>
        </w:rPr>
        <w:t xml:space="preserve">Reviewed by: Tayyaba Arshad (231370183)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Md Emran Hasan, Mohammad Arif, S. M. Rakibul Hasan, et al.</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2025 — Journal of Health, Population and Nutrition</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Seven models were compared: k-NN, Random Forest, Gradient Boosting Machine, XGBoost, CatBoost, Logistic Regression, and SVM.</w:t>
            </w:r>
          </w:p>
        </w:tc>
      </w:tr>
    </w:tbl>
    <w:p>
      <w:pPr>
        <w:spacing w:after="120"/>
      </w:pPr>
    </w:p>
    <w:p>
      <w:pPr>
        <w:spacing w:after="80" w:before="160"/>
      </w:pPr>
      <w:r>
        <w:rPr>
          <w:b/>
          <w:bCs/>
          <w:sz w:val="22"/>
          <w:szCs w:val="22"/>
        </w:rPr>
        <w:t xml:space="preserve">Problem Addressed</w:t>
      </w:r>
    </w:p>
    <w:p>
      <w:pPr>
        <w:spacing w:after="140"/>
      </w:pPr>
      <w:r>
        <w:t xml:space="preserve">Academic workload, family pressure, and social challenges contribute to student depression, anxiety, and stress, but earlier studies leaned on small samples and conventional statistics rather than ML. This study combines statistical analysis with machine learning to identify risk factors and predict these conditions among Bangladeshi university students.</w:t>
      </w:r>
    </w:p>
    <w:p>
      <w:pPr>
        <w:spacing w:after="80" w:before="160"/>
      </w:pPr>
      <w:r>
        <w:rPr>
          <w:b/>
          <w:bCs/>
          <w:sz w:val="22"/>
          <w:szCs w:val="22"/>
        </w:rPr>
        <w:t xml:space="preserve">Dataset</w:t>
      </w:r>
    </w:p>
    <w:p>
      <w:pPr>
        <w:spacing w:after="140"/>
      </w:pPr>
      <w:r>
        <w:t xml:space="preserve">Cross-sectional survey of 1,697 students from Jahangirnagar University and Patuakhali Science &amp; Technology University (Feb 2024), covering demographics, family/relationship factors, academic year, faculty, and substance use, with outcomes measured via the DASS-21 scale (converted to binary case/non-case labels).</w:t>
      </w:r>
    </w:p>
    <w:p>
      <w:pPr>
        <w:spacing w:after="80" w:before="160"/>
      </w:pPr>
      <w:r>
        <w:rPr>
          <w:b/>
          <w:bCs/>
          <w:sz w:val="22"/>
          <w:szCs w:val="22"/>
        </w:rPr>
        <w:t xml:space="preserve">Methodology</w:t>
      </w:r>
    </w:p>
    <w:p>
      <w:pPr>
        <w:spacing w:after="140"/>
      </w:pPr>
      <w:r>
        <w:t xml:space="preserve">Chi-square tests and binary logistic regression identified significant factors; data was split 80/20 with SMOTE applied for class balance; models were tuned with 5-fold cross-validation and grid/random search; SHAP and XGBoost importances explained feature contributions.</w:t>
      </w:r>
    </w:p>
    <w:p>
      <w:pPr>
        <w:spacing w:after="80" w:before="160"/>
      </w:pPr>
      <w:r>
        <w:rPr>
          <w:b/>
          <w:bCs/>
          <w:sz w:val="22"/>
          <w:szCs w:val="22"/>
        </w:rPr>
        <w:t xml:space="preserve">Evaluation Metrics</w:t>
      </w:r>
    </w:p>
    <w:p>
      <w:pPr>
        <w:spacing w:after="140"/>
      </w:pPr>
      <w:r>
        <w:t xml:space="preserve">Accuracy, Precision, F1-Score, Log Loss, ROC Curve, AUC-ROC.</w:t>
      </w:r>
    </w:p>
    <w:p>
      <w:pPr>
        <w:spacing w:after="80" w:before="160"/>
      </w:pPr>
      <w:r>
        <w:rPr>
          <w:b/>
          <w:bCs/>
          <w:sz w:val="22"/>
          <w:szCs w:val="22"/>
        </w:rPr>
        <w:t xml:space="preserve">Results</w:t>
      </w:r>
    </w:p>
    <w:p>
      <w:pPr>
        <w:spacing w:after="140"/>
      </w:pPr>
      <w:r>
        <w:t xml:space="preserve">Prevalence was high (Depression 56.9%, Anxiety 69.5%, Stress 33.2%). SVM performed best for depression (Accuracy 56.93%, Precision 75.60%), Logistic Regression/SVM best for anxiety (Accuracy 69.48%, Precision 78.81%), and CatBoost best for stress (Accuracy 67.06%, F1 57.77%).</w:t>
      </w:r>
    </w:p>
    <w:p>
      <w:pPr>
        <w:spacing w:after="80" w:before="160"/>
      </w:pPr>
      <w:r>
        <w:rPr>
          <w:b/>
          <w:bCs/>
          <w:sz w:val="22"/>
          <w:szCs w:val="22"/>
        </w:rPr>
        <w:t xml:space="preserve">Key Findings</w:t>
      </w:r>
    </w:p>
    <w:p>
      <w:pPr>
        <w:pStyle w:val="ListParagraph"/>
        <w:numPr>
          <w:ilvl w:val="0"/>
          <w:numId w:val="2"/>
        </w:numPr>
        <w:spacing w:after="50"/>
      </w:pPr>
      <w:r>
        <w:t xml:space="preserve">Family relationships strongly influence mental health outcomes.</w:t>
      </w:r>
    </w:p>
    <w:p>
      <w:pPr>
        <w:pStyle w:val="ListParagraph"/>
        <w:numPr>
          <w:ilvl w:val="0"/>
          <w:numId w:val="2"/>
        </w:numPr>
        <w:spacing w:after="50"/>
      </w:pPr>
      <w:r>
        <w:t xml:space="preserve">Smoking behavior correlates with depression and stress.</w:t>
      </w:r>
    </w:p>
    <w:p>
      <w:pPr>
        <w:pStyle w:val="ListParagraph"/>
        <w:numPr>
          <w:ilvl w:val="0"/>
          <w:numId w:val="2"/>
        </w:numPr>
        <w:spacing w:after="50"/>
      </w:pPr>
      <w:r>
        <w:t xml:space="preserve">Commerce-faculty students and female students showed elevated risk.</w:t>
      </w:r>
    </w:p>
    <w:p>
      <w:pPr>
        <w:pStyle w:val="ListParagraph"/>
        <w:numPr>
          <w:ilvl w:val="0"/>
          <w:numId w:val="2"/>
        </w:numPr>
        <w:spacing w:after="50"/>
      </w:pPr>
      <w:r>
        <w:t xml:space="preserve">Different models were best for different outcomes — no single winner across the board.</w:t>
      </w:r>
    </w:p>
    <w:p>
      <w:pPr>
        <w:spacing w:after="80" w:before="160"/>
      </w:pPr>
      <w:r>
        <w:rPr>
          <w:b/>
          <w:bCs/>
          <w:sz w:val="22"/>
          <w:szCs w:val="22"/>
        </w:rPr>
        <w:t xml:space="preserve">Limitations</w:t>
      </w:r>
    </w:p>
    <w:p>
      <w:pPr>
        <w:pStyle w:val="ListParagraph"/>
        <w:numPr>
          <w:ilvl w:val="0"/>
          <w:numId w:val="2"/>
        </w:numPr>
        <w:spacing w:after="50"/>
      </w:pPr>
      <w:r>
        <w:t xml:space="preserve">Only two universities, limiting generalization.</w:t>
      </w:r>
    </w:p>
    <w:p>
      <w:pPr>
        <w:pStyle w:val="ListParagraph"/>
        <w:numPr>
          <w:ilvl w:val="0"/>
          <w:numId w:val="2"/>
        </w:numPr>
        <w:spacing w:after="50"/>
      </w:pPr>
      <w:r>
        <w:t xml:space="preserve">Cross-sectional data cannot establish causality.</w:t>
      </w:r>
    </w:p>
    <w:p>
      <w:pPr>
        <w:pStyle w:val="ListParagraph"/>
        <w:numPr>
          <w:ilvl w:val="0"/>
          <w:numId w:val="2"/>
        </w:numPr>
        <w:spacing w:after="50"/>
      </w:pPr>
      <w:r>
        <w:t xml:space="preserve">Relatively low AUC values indicate limited predictive power.</w:t>
      </w:r>
    </w:p>
    <w:p>
      <w:pPr>
        <w:pStyle w:val="ListParagraph"/>
        <w:numPr>
          <w:ilvl w:val="0"/>
          <w:numId w:val="2"/>
        </w:numPr>
        <w:spacing w:after="50"/>
      </w:pPr>
      <w:r>
        <w:t xml:space="preserve">Important factors like financial stress were not captured.</w:t>
      </w:r>
    </w:p>
    <w:p>
      <w:pPr>
        <w:spacing w:after="80" w:before="160"/>
      </w:pPr>
      <w:r>
        <w:rPr>
          <w:b/>
          <w:bCs/>
          <w:sz w:val="22"/>
          <w:szCs w:val="22"/>
        </w:rPr>
        <w:t xml:space="preserve">Conclusion</w:t>
      </w:r>
    </w:p>
    <w:p>
      <w:pPr>
        <w:spacing w:after="140"/>
      </w:pPr>
      <w:r>
        <w:t xml:space="preserve">Combining statistical analysis with seven ML models on 1,697 students showed high prevalence of depression, anxiety, and stress, with different algorithms best suited to different outcomes (SVM/depression, LR/anxiety, CatBoost/stress), and family relationships and smoking as the most consistent risk indicators.</w:t>
      </w:r>
    </w:p>
    <w:p>
      <w:pPr>
        <w:spacing w:after="140"/>
      </w:pPr>
      <w:r>
        <w:rPr>
          <w:i/>
          <w:iCs/>
          <w:color w:val="595959"/>
          <w:sz w:val="18"/>
          <w:szCs w:val="18"/>
        </w:rPr>
        <w:t xml:space="preserve">Paper link: https://link.springer.com/article/10.1186/s41043-025-01095-8</w:t>
      </w:r>
    </w:p>
    <w:p>
      <w:pPr>
        <w:pStyle w:val="Heading2"/>
        <w:spacing w:after="40" w:before="320"/>
      </w:pPr>
      <w:r>
        <w:rPr>
          <w:b/>
          <w:bCs/>
          <w:color w:val="1F3864"/>
          <w:sz w:val="24"/>
          <w:szCs w:val="24"/>
        </w:rPr>
        <w:t xml:space="preserve">Report 3: </w:t>
      </w:r>
      <w:r>
        <w:rPr>
          <w:b/>
          <w:bCs/>
          <w:sz w:val="24"/>
          <w:szCs w:val="24"/>
        </w:rPr>
        <w:t xml:space="preserve">Prediction of Mental Health Problem Using Annual Student Health Survey: Machine Learning Approach</w:t>
      </w:r>
    </w:p>
    <w:p>
      <w:pPr>
        <w:spacing w:after="140"/>
      </w:pPr>
      <w:r>
        <w:rPr>
          <w:i/>
          <w:iCs/>
          <w:color w:val="595959"/>
          <w:sz w:val="20"/>
          <w:szCs w:val="20"/>
        </w:rPr>
        <w:t xml:space="preserve">Reviewed by: Unconfirmed — submitted as “Team Member 3” (see note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Yuta Baba, Takashi Bunji</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2023 — JMIR Mental Health</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Logistic Regression, Elastic Net, Random Forest, XGBoost, and LightGBM — with LightGBM selected as the best performer.</w:t>
            </w:r>
          </w:p>
        </w:tc>
      </w:tr>
    </w:tbl>
    <w:p>
      <w:pPr>
        <w:spacing w:after="120"/>
      </w:pPr>
    </w:p>
    <w:p>
      <w:pPr>
        <w:spacing w:after="80" w:before="160"/>
      </w:pPr>
      <w:r>
        <w:rPr>
          <w:b/>
          <w:bCs/>
          <w:sz w:val="22"/>
          <w:szCs w:val="22"/>
        </w:rPr>
        <w:t xml:space="preserve">Problem Addressed</w:t>
      </w:r>
    </w:p>
    <w:p>
      <w:pPr>
        <w:spacing w:after="140"/>
      </w:pPr>
      <w:r>
        <w:t xml:space="preserve">Universities run annual health surveys but lack a standardized way to flag students needing counseling. This study builds an ML model to identify at-risk students from survey data, and tests whether response-time behavior improves prediction, and whether risk can be predicted a full year in advance.</w:t>
      </w:r>
    </w:p>
    <w:p>
      <w:pPr>
        <w:spacing w:after="80" w:before="160"/>
      </w:pPr>
      <w:r>
        <w:rPr>
          <w:b/>
          <w:bCs/>
          <w:sz w:val="22"/>
          <w:szCs w:val="22"/>
        </w:rPr>
        <w:t xml:space="preserve">Dataset</w:t>
      </w:r>
    </w:p>
    <w:p>
      <w:pPr>
        <w:spacing w:after="140"/>
      </w:pPr>
      <w:r>
        <w:t xml:space="preserve">3,561 completed surveys (of 5,690 invited) from a Japanese national university, 2020–2021, a two-year longitudinal design. Includes demographics, campus-life/career/academic-workload survey items, and response-timing behavior (timestamps, completion date, time spent). Target: Kessler Psychological Distress Scale (K6).</w:t>
      </w:r>
    </w:p>
    <w:p>
      <w:pPr>
        <w:spacing w:after="80" w:before="160"/>
      </w:pPr>
      <w:r>
        <w:rPr>
          <w:b/>
          <w:bCs/>
          <w:sz w:val="22"/>
          <w:szCs w:val="22"/>
        </w:rPr>
        <w:t xml:space="preserve">Methodology</w:t>
      </w:r>
    </w:p>
    <w:p>
      <w:pPr>
        <w:spacing w:after="140"/>
      </w:pPr>
      <w:r>
        <w:t xml:space="preserve">Two prediction tasks were run: same-year prediction (2020) and one-year-ahead prediction (2021 from 2020 data), each under two conditions (with vs. without response-timing features). Repeated 5-fold cross-validation tuned hyperparameters; Gain Importance and SHAP explained predictions.</w:t>
      </w:r>
    </w:p>
    <w:p>
      <w:pPr>
        <w:spacing w:after="80" w:before="160"/>
      </w:pPr>
      <w:r>
        <w:rPr>
          <w:b/>
          <w:bCs/>
          <w:sz w:val="22"/>
          <w:szCs w:val="22"/>
        </w:rPr>
        <w:t xml:space="preserve">Evaluation Metrics</w:t>
      </w:r>
    </w:p>
    <w:p>
      <w:pPr>
        <w:spacing w:after="140"/>
      </w:pPr>
      <w:r>
        <w:t xml:space="preserve">Log-Loss, Brier Loss, AUC-ROC, AUC-PR, Precision, Recall, Specificity, Matthews Correlation Coefficient (MCC) — chosen because the dataset was highly imbalanced.</w:t>
      </w:r>
    </w:p>
    <w:p>
      <w:pPr>
        <w:spacing w:after="80" w:before="160"/>
      </w:pPr>
      <w:r>
        <w:rPr>
          <w:b/>
          <w:bCs/>
          <w:sz w:val="22"/>
          <w:szCs w:val="22"/>
        </w:rPr>
        <w:t xml:space="preserve">Results</w:t>
      </w:r>
    </w:p>
    <w:p>
      <w:pPr>
        <w:spacing w:after="140"/>
      </w:pPr>
      <w:r>
        <w:t xml:space="preserve">LightGBM reached MCC scores of 0.970–0.986 across the four analysis/condition combinations; response-timing features gave only a marginal boost over survey-response variables alone.</w:t>
      </w:r>
    </w:p>
    <w:p>
      <w:pPr>
        <w:spacing w:after="80" w:before="160"/>
      </w:pPr>
      <w:r>
        <w:rPr>
          <w:b/>
          <w:bCs/>
          <w:sz w:val="22"/>
          <w:szCs w:val="22"/>
        </w:rPr>
        <w:t xml:space="preserve">Key Findings</w:t>
      </w:r>
    </w:p>
    <w:p>
      <w:pPr>
        <w:pStyle w:val="ListParagraph"/>
        <w:numPr>
          <w:ilvl w:val="0"/>
          <w:numId w:val="2"/>
        </w:numPr>
        <w:spacing w:after="50"/>
      </w:pPr>
      <w:r>
        <w:t xml:space="preserve">Anxiety about campus life was the single strongest predictor.</w:t>
      </w:r>
    </w:p>
    <w:p>
      <w:pPr>
        <w:pStyle w:val="ListParagraph"/>
        <w:numPr>
          <w:ilvl w:val="0"/>
          <w:numId w:val="2"/>
        </w:numPr>
        <w:spacing w:after="50"/>
      </w:pPr>
      <w:r>
        <w:t xml:space="preserve">Concerns about the future/career strongly affected predictions.</w:t>
      </w:r>
    </w:p>
    <w:p>
      <w:pPr>
        <w:pStyle w:val="ListParagraph"/>
        <w:numPr>
          <w:ilvl w:val="0"/>
          <w:numId w:val="2"/>
        </w:numPr>
        <w:spacing w:after="50"/>
      </w:pPr>
      <w:r>
        <w:t xml:space="preserve">Short (&lt;6h) or long (&gt;8h) sleep correlated with risk.</w:t>
      </w:r>
    </w:p>
    <w:p>
      <w:pPr>
        <w:pStyle w:val="ListParagraph"/>
        <w:numPr>
          <w:ilvl w:val="0"/>
          <w:numId w:val="2"/>
        </w:numPr>
        <w:spacing w:after="50"/>
      </w:pPr>
      <w:r>
        <w:t xml:space="preserve">Mental health risk one year out was predictable from current survey data — supporting early intervention.</w:t>
      </w:r>
    </w:p>
    <w:p>
      <w:pPr>
        <w:spacing w:after="80" w:before="160"/>
      </w:pPr>
      <w:r>
        <w:rPr>
          <w:b/>
          <w:bCs/>
          <w:sz w:val="22"/>
          <w:szCs w:val="22"/>
        </w:rPr>
        <w:t xml:space="preserve">Limitations</w:t>
      </w:r>
    </w:p>
    <w:p>
      <w:pPr>
        <w:pStyle w:val="ListParagraph"/>
        <w:numPr>
          <w:ilvl w:val="0"/>
          <w:numId w:val="2"/>
        </w:numPr>
        <w:spacing w:after="50"/>
      </w:pPr>
      <w:r>
        <w:t xml:space="preserve">Single Japanese university limits generalizability.</w:t>
      </w:r>
    </w:p>
    <w:p>
      <w:pPr>
        <w:pStyle w:val="ListParagraph"/>
        <w:numPr>
          <w:ilvl w:val="0"/>
          <w:numId w:val="2"/>
        </w:numPr>
        <w:spacing w:after="50"/>
      </w:pPr>
      <w:r>
        <w:t xml:space="preserve">Data collected during COVID-19 may not generalize to normal periods.</w:t>
      </w:r>
    </w:p>
    <w:p>
      <w:pPr>
        <w:pStyle w:val="ListParagraph"/>
        <w:numPr>
          <w:ilvl w:val="0"/>
          <w:numId w:val="2"/>
        </w:numPr>
        <w:spacing w:after="50"/>
      </w:pPr>
      <w:r>
        <w:t xml:space="preserve">Many students didn't complete both survey years.</w:t>
      </w:r>
    </w:p>
    <w:p>
      <w:pPr>
        <w:pStyle w:val="ListParagraph"/>
        <w:numPr>
          <w:ilvl w:val="0"/>
          <w:numId w:val="2"/>
        </w:numPr>
        <w:spacing w:after="50"/>
      </w:pPr>
      <w:r>
        <w:t xml:space="preserve">Some survey items were institution-specific.</w:t>
      </w:r>
    </w:p>
    <w:p>
      <w:pPr>
        <w:spacing w:after="80" w:before="160"/>
      </w:pPr>
      <w:r>
        <w:rPr>
          <w:b/>
          <w:bCs/>
          <w:sz w:val="22"/>
          <w:szCs w:val="22"/>
        </w:rPr>
        <w:t xml:space="preserve">Conclusion</w:t>
      </w:r>
    </w:p>
    <w:p>
      <w:pPr>
        <w:spacing w:after="140"/>
      </w:pPr>
      <w:r>
        <w:t xml:space="preserve">LightGBM reliably predicted both current and one-year-ahead mental health risk (MCC up to 0.986) from annual survey data, with campus-life anxiety and future-related concerns as the strongest predictors — evidence that annual surveys can support proactive, early intervention rather than only reactive screening.</w:t>
      </w:r>
    </w:p>
    <w:p>
      <w:pPr>
        <w:spacing w:after="140"/>
      </w:pPr>
      <w:r>
        <w:rPr>
          <w:i/>
          <w:iCs/>
          <w:color w:val="595959"/>
          <w:sz w:val="18"/>
          <w:szCs w:val="18"/>
        </w:rPr>
        <w:t xml:space="preserve">Paper link: https://mental.jmir.org/2023/1/e42420</w:t>
      </w:r>
    </w:p>
    <w:p>
      <w:pPr>
        <w:pStyle w:val="Heading2"/>
        <w:spacing w:after="40" w:before="320"/>
      </w:pPr>
      <w:r>
        <w:rPr>
          <w:b/>
          <w:bCs/>
          <w:color w:val="1F3864"/>
          <w:sz w:val="24"/>
          <w:szCs w:val="24"/>
        </w:rPr>
        <w:t xml:space="preserve">Report 4: </w:t>
      </w:r>
      <w:r>
        <w:rPr>
          <w:b/>
          <w:bCs/>
          <w:sz w:val="24"/>
          <w:szCs w:val="24"/>
        </w:rPr>
        <w:t xml:space="preserve">Protecting Student Mental Health with a Context-Aware Machine Learning Framework for Stress Monitoring</w:t>
      </w:r>
    </w:p>
    <w:p>
      <w:pPr>
        <w:spacing w:after="140"/>
      </w:pPr>
      <w:r>
        <w:rPr>
          <w:i/>
          <w:iCs/>
          <w:color w:val="595959"/>
          <w:sz w:val="20"/>
          <w:szCs w:val="20"/>
        </w:rPr>
        <w:t xml:space="preserve">Reviewed by: Unconfirmed — submitted as “Team Member 4” (see note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Md Sultanul Islam Ovi, Jamal Hossain, Md Raihan Alam Rahi, Fatema Akter</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2025 (arXiv preprint) — arXiv</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SVM, Random Forest, Gradient Boosting, XGBoost, AdaBoost, and Bagging, plus ensemble techniques: Hard Voting, Soft Voting, Weighted Hard/Soft Voting, and Stacking.</w:t>
            </w:r>
          </w:p>
        </w:tc>
      </w:tr>
    </w:tbl>
    <w:p>
      <w:pPr>
        <w:spacing w:after="120"/>
      </w:pPr>
    </w:p>
    <w:p>
      <w:pPr>
        <w:spacing w:after="80" w:before="160"/>
      </w:pPr>
      <w:r>
        <w:rPr>
          <w:b/>
          <w:bCs/>
          <w:sz w:val="22"/>
          <w:szCs w:val="22"/>
        </w:rPr>
        <w:t xml:space="preserve">Problem Addressed</w:t>
      </w:r>
    </w:p>
    <w:p>
      <w:pPr>
        <w:spacing w:after="140"/>
      </w:pPr>
      <w:r>
        <w:t xml:space="preserve">Traditional questionnaire/interview-based stress detection is slow and not scalable. This paper proposes a context-aware ML framework that combines academic, psychological, environmental, and social information to detect student stress early enough for timely intervention.</w:t>
      </w:r>
    </w:p>
    <w:p>
      <w:pPr>
        <w:spacing w:after="80" w:before="160"/>
      </w:pPr>
      <w:r>
        <w:rPr>
          <w:b/>
          <w:bCs/>
          <w:sz w:val="22"/>
          <w:szCs w:val="22"/>
        </w:rPr>
        <w:t xml:space="preserve">Dataset</w:t>
      </w:r>
    </w:p>
    <w:p>
      <w:pPr>
        <w:spacing w:after="140"/>
      </w:pPr>
      <w:r>
        <w:t xml:space="preserve">Two survey datasets: Student Stress Factors (1,100 samples, 21 features) and a Stress &amp; Well-being dataset (843 samples, 26 features), covering academic pressure, family issues, social life, finances, lifestyle, and emotional health.</w:t>
      </w:r>
    </w:p>
    <w:p>
      <w:pPr>
        <w:spacing w:after="80" w:before="160"/>
      </w:pPr>
      <w:r>
        <w:rPr>
          <w:b/>
          <w:bCs/>
          <w:sz w:val="22"/>
          <w:szCs w:val="22"/>
        </w:rPr>
        <w:t xml:space="preserve">Methodology</w:t>
      </w:r>
    </w:p>
    <w:p>
      <w:pPr>
        <w:spacing w:after="140"/>
      </w:pPr>
      <w:r>
        <w:t xml:space="preserve">A six-step pipeline: data collection, preprocessing (missing values, duplicates, normalization), feature selection (SelectKBest, RFECV), dimensionality reduction (PCA), individual classifier training, then ensembling the classifiers.</w:t>
      </w:r>
    </w:p>
    <w:p>
      <w:pPr>
        <w:spacing w:after="80" w:before="160"/>
      </w:pPr>
      <w:r>
        <w:rPr>
          <w:b/>
          <w:bCs/>
          <w:sz w:val="22"/>
          <w:szCs w:val="22"/>
        </w:rPr>
        <w:t xml:space="preserve">Evaluation Metrics</w:t>
      </w:r>
    </w:p>
    <w:p>
      <w:pPr>
        <w:spacing w:after="140"/>
      </w:pPr>
      <w:r>
        <w:t xml:space="preserve">Accuracy, Precision, Recall, F1-Score.</w:t>
      </w:r>
    </w:p>
    <w:p>
      <w:pPr>
        <w:spacing w:after="80" w:before="160"/>
      </w:pPr>
      <w:r>
        <w:rPr>
          <w:b/>
          <w:bCs/>
          <w:sz w:val="22"/>
          <w:szCs w:val="22"/>
        </w:rPr>
        <w:t xml:space="preserve">Results</w:t>
      </w:r>
    </w:p>
    <w:p>
      <w:pPr>
        <w:spacing w:after="140"/>
      </w:pPr>
      <w:r>
        <w:t xml:space="preserve">On Dataset 1, Weighted Hard Voting reached 93.09% accuracy; on Dataset 2, a Stacking ensemble reached 99.53% accuracy — both outperforming individual classifiers and prior work.</w:t>
      </w:r>
    </w:p>
    <w:p>
      <w:pPr>
        <w:spacing w:after="80" w:before="160"/>
      </w:pPr>
      <w:r>
        <w:rPr>
          <w:b/>
          <w:bCs/>
          <w:sz w:val="22"/>
          <w:szCs w:val="22"/>
        </w:rPr>
        <w:t xml:space="preserve">Key Findings</w:t>
      </w:r>
    </w:p>
    <w:p>
      <w:pPr>
        <w:pStyle w:val="ListParagraph"/>
        <w:numPr>
          <w:ilvl w:val="0"/>
          <w:numId w:val="2"/>
        </w:numPr>
        <w:spacing w:after="50"/>
      </w:pPr>
      <w:r>
        <w:t xml:space="preserve">Context-aware inputs meaningfully improve stress prediction.</w:t>
      </w:r>
    </w:p>
    <w:p>
      <w:pPr>
        <w:pStyle w:val="ListParagraph"/>
        <w:numPr>
          <w:ilvl w:val="0"/>
          <w:numId w:val="2"/>
        </w:numPr>
        <w:spacing w:after="50"/>
      </w:pPr>
      <w:r>
        <w:t xml:space="preserve">Ensembling consistently beats single classifiers.</w:t>
      </w:r>
    </w:p>
    <w:p>
      <w:pPr>
        <w:pStyle w:val="ListParagraph"/>
        <w:numPr>
          <w:ilvl w:val="0"/>
          <w:numId w:val="2"/>
        </w:numPr>
        <w:spacing w:after="50"/>
      </w:pPr>
      <w:r>
        <w:t xml:space="preserve">Careful preprocessing and feature selection matter as much as model choice.</w:t>
      </w:r>
    </w:p>
    <w:p>
      <w:pPr>
        <w:pStyle w:val="ListParagraph"/>
        <w:numPr>
          <w:ilvl w:val="0"/>
          <w:numId w:val="2"/>
        </w:numPr>
        <w:spacing w:after="50"/>
      </w:pPr>
      <w:r>
        <w:t xml:space="preserve">Such a framework could help universities flag stressed students early.</w:t>
      </w:r>
    </w:p>
    <w:p>
      <w:pPr>
        <w:spacing w:after="80" w:before="160"/>
      </w:pPr>
      <w:r>
        <w:rPr>
          <w:b/>
          <w:bCs/>
          <w:sz w:val="22"/>
          <w:szCs w:val="22"/>
        </w:rPr>
        <w:t xml:space="preserve">Limitations</w:t>
      </w:r>
    </w:p>
    <w:p>
      <w:pPr>
        <w:pStyle w:val="ListParagraph"/>
        <w:numPr>
          <w:ilvl w:val="0"/>
          <w:numId w:val="2"/>
        </w:numPr>
        <w:spacing w:after="50"/>
      </w:pPr>
      <w:r>
        <w:t xml:space="preserve">Relies on self-reported survey data, no physiological/wearable signals.</w:t>
      </w:r>
    </w:p>
    <w:p>
      <w:pPr>
        <w:pStyle w:val="ListParagraph"/>
        <w:numPr>
          <w:ilvl w:val="0"/>
          <w:numId w:val="2"/>
        </w:numPr>
        <w:spacing w:after="50"/>
      </w:pPr>
      <w:r>
        <w:t xml:space="preserve">Not yet tested in a real university deployment.</w:t>
      </w:r>
    </w:p>
    <w:p>
      <w:pPr>
        <w:pStyle w:val="ListParagraph"/>
        <w:numPr>
          <w:ilvl w:val="0"/>
          <w:numId w:val="2"/>
        </w:numPr>
        <w:spacing w:after="50"/>
      </w:pPr>
      <w:r>
        <w:t xml:space="preserve">arXiv preprint — not yet formally peer-reviewed.</w:t>
      </w:r>
    </w:p>
    <w:p>
      <w:pPr>
        <w:spacing w:after="80" w:before="160"/>
      </w:pPr>
      <w:r>
        <w:rPr>
          <w:b/>
          <w:bCs/>
          <w:sz w:val="22"/>
          <w:szCs w:val="22"/>
        </w:rPr>
        <w:t xml:space="preserve">Conclusion</w:t>
      </w:r>
    </w:p>
    <w:p>
      <w:pPr>
        <w:spacing w:after="140"/>
      </w:pPr>
      <w:r>
        <w:t xml:space="preserve">Combining careful preprocessing, feature selection, PCA, and ensemble learning produced very high stress-classification accuracy (93–99.5%) across two independent datasets, showing ensembling is a strong, generalizable strategy for student stress monitoring — though real-world validation is still needed.</w:t>
      </w:r>
    </w:p>
    <w:p>
      <w:pPr>
        <w:spacing w:after="140"/>
      </w:pPr>
      <w:r>
        <w:rPr>
          <w:i/>
          <w:iCs/>
          <w:color w:val="595959"/>
          <w:sz w:val="18"/>
          <w:szCs w:val="18"/>
        </w:rPr>
        <w:t xml:space="preserve">Paper link: https://arxiv.org/abs/2508.01105</w:t>
      </w:r>
    </w:p>
    <w:p>
      <w:pPr>
        <w:pStyle w:val="Heading2"/>
        <w:spacing w:after="40" w:before="320"/>
      </w:pPr>
      <w:r>
        <w:rPr>
          <w:b/>
          <w:bCs/>
          <w:color w:val="1F3864"/>
          <w:sz w:val="24"/>
          <w:szCs w:val="24"/>
        </w:rPr>
        <w:t xml:space="preserve">Report 5: </w:t>
      </w:r>
      <w:r>
        <w:rPr>
          <w:b/>
          <w:bCs/>
          <w:sz w:val="24"/>
          <w:szCs w:val="24"/>
        </w:rPr>
        <w:t xml:space="preserve">Prediction of Depression Level in University Students through a Naive Bayes Based Machine Learning Model</w:t>
      </w:r>
    </w:p>
    <w:p>
      <w:pPr>
        <w:spacing w:after="140"/>
      </w:pPr>
      <w:r>
        <w:rPr>
          <w:i/>
          <w:iCs/>
          <w:color w:val="595959"/>
          <w:sz w:val="20"/>
          <w:szCs w:val="20"/>
        </w:rPr>
        <w:t xml:space="preserve">Reviewed by: Unconfirmed — submitted as “Team Member 5” (see note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Fred Torres Cruz, Evelyn Eliana Coaquira Flores, Sebastian Jarom Condori Quispe</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2023 — arXiv preprint</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Gaussian/standard Naive Bayes Classifier, chosen for computational efficiency, effectiveness on categorical/small data, and probabilistic output.</w:t>
            </w:r>
          </w:p>
        </w:tc>
      </w:tr>
    </w:tbl>
    <w:p>
      <w:pPr>
        <w:spacing w:after="120"/>
      </w:pPr>
    </w:p>
    <w:p>
      <w:pPr>
        <w:spacing w:after="80" w:before="160"/>
      </w:pPr>
      <w:r>
        <w:rPr>
          <w:b/>
          <w:bCs/>
          <w:sz w:val="22"/>
          <w:szCs w:val="22"/>
        </w:rPr>
        <w:t xml:space="preserve">Problem Addressed</w:t>
      </w:r>
    </w:p>
    <w:p>
      <w:pPr>
        <w:spacing w:after="140"/>
      </w:pPr>
      <w:r>
        <w:t xml:space="preserve">Traditional depression screening is time- and resource-intensive, making large-scale assessment hard. This study builds a Naive Bayes model to predict depression level among university students from demographic, academic, and lifestyle data, to support early detection at scale.</w:t>
      </w:r>
    </w:p>
    <w:p>
      <w:pPr>
        <w:spacing w:after="80" w:before="160"/>
      </w:pPr>
      <w:r>
        <w:rPr>
          <w:b/>
          <w:bCs/>
          <w:sz w:val="22"/>
          <w:szCs w:val="22"/>
        </w:rPr>
        <w:t xml:space="preserve">Dataset</w:t>
      </w:r>
    </w:p>
    <w:p>
      <w:pPr>
        <w:spacing w:after="140"/>
      </w:pPr>
      <w:r>
        <w:t xml:space="preserve">519 students (from a target population of ~18,000) at Universidad Nacional del Altiplano, across Engineering, Biomedical, and Social Science programs. Includes gender, residence, housing, internet access, study hours, sports, substance use, and COVID-19-related factors. Labeled using the Hamilton Depression Rating Scale (HDRS): Normal, Mild, Moderate, Severe, Very Severe.</w:t>
      </w:r>
    </w:p>
    <w:p>
      <w:pPr>
        <w:spacing w:after="80" w:before="160"/>
      </w:pPr>
      <w:r>
        <w:rPr>
          <w:b/>
          <w:bCs/>
          <w:sz w:val="22"/>
          <w:szCs w:val="22"/>
        </w:rPr>
        <w:t xml:space="preserve">Methodology</w:t>
      </w:r>
    </w:p>
    <w:p>
      <w:pPr>
        <w:spacing w:after="140"/>
      </w:pPr>
      <w:r>
        <w:t xml:space="preserve">Data was cleaned and structured in R/RStudio, split 70/30 (364/155 students), and the Naive Bayes classifier was trained, then evaluated with confusion-matrix-based metrics.</w:t>
      </w:r>
    </w:p>
    <w:p>
      <w:pPr>
        <w:spacing w:after="80" w:before="160"/>
      </w:pPr>
      <w:r>
        <w:rPr>
          <w:b/>
          <w:bCs/>
          <w:sz w:val="22"/>
          <w:szCs w:val="22"/>
        </w:rPr>
        <w:t xml:space="preserve">Evaluation Metrics</w:t>
      </w:r>
    </w:p>
    <w:p>
      <w:pPr>
        <w:spacing w:after="140"/>
      </w:pPr>
      <w:r>
        <w:t xml:space="preserve">Accuracy, Precision, Recall, Specificity, PPV, NPV, Balanced Accuracy, Kappa Statistic.</w:t>
      </w:r>
    </w:p>
    <w:p>
      <w:pPr>
        <w:spacing w:after="80" w:before="160"/>
      </w:pPr>
      <w:r>
        <w:rPr>
          <w:b/>
          <w:bCs/>
          <w:sz w:val="22"/>
          <w:szCs w:val="22"/>
        </w:rPr>
        <w:t xml:space="preserve">Results</w:t>
      </w:r>
    </w:p>
    <w:p>
      <w:pPr>
        <w:spacing w:after="140"/>
      </w:pPr>
      <w:r>
        <w:t xml:space="preserve">78.03% accuracy with a Kappa of 0.6642 (substantial agreement), with strong performance identifying moderate/severe depression and high specificity for identifying non-depressed students.</w:t>
      </w:r>
    </w:p>
    <w:p>
      <w:pPr>
        <w:spacing w:after="80" w:before="160"/>
      </w:pPr>
      <w:r>
        <w:rPr>
          <w:b/>
          <w:bCs/>
          <w:sz w:val="22"/>
          <w:szCs w:val="22"/>
        </w:rPr>
        <w:t xml:space="preserve">Key Findings</w:t>
      </w:r>
    </w:p>
    <w:p>
      <w:pPr>
        <w:pStyle w:val="ListParagraph"/>
        <w:numPr>
          <w:ilvl w:val="0"/>
          <w:numId w:val="2"/>
        </w:numPr>
        <w:spacing w:after="50"/>
      </w:pPr>
      <w:r>
        <w:t xml:space="preserve">ML can support scalable, early mental health screening.</w:t>
      </w:r>
    </w:p>
    <w:p>
      <w:pPr>
        <w:pStyle w:val="ListParagraph"/>
        <w:numPr>
          <w:ilvl w:val="0"/>
          <w:numId w:val="2"/>
        </w:numPr>
        <w:spacing w:after="50"/>
      </w:pPr>
      <w:r>
        <w:t xml:space="preserve">Naive Bayes performs adequately even on demographic/behavioral data alone.</w:t>
      </w:r>
    </w:p>
    <w:p>
      <w:pPr>
        <w:pStyle w:val="ListParagraph"/>
        <w:numPr>
          <w:ilvl w:val="0"/>
          <w:numId w:val="2"/>
        </w:numPr>
        <w:spacing w:after="50"/>
      </w:pPr>
      <w:r>
        <w:t xml:space="preserve">Moderate and severe cases were identified effectively.</w:t>
      </w:r>
    </w:p>
    <w:p>
      <w:pPr>
        <w:spacing w:after="80" w:before="160"/>
      </w:pPr>
      <w:r>
        <w:rPr>
          <w:b/>
          <w:bCs/>
          <w:sz w:val="22"/>
          <w:szCs w:val="22"/>
        </w:rPr>
        <w:t xml:space="preserve">Limitations</w:t>
      </w:r>
    </w:p>
    <w:p>
      <w:pPr>
        <w:pStyle w:val="ListParagraph"/>
        <w:numPr>
          <w:ilvl w:val="0"/>
          <w:numId w:val="2"/>
        </w:numPr>
        <w:spacing w:after="50"/>
      </w:pPr>
      <w:r>
        <w:t xml:space="preserve">Single-university, relatively small sample.</w:t>
      </w:r>
    </w:p>
    <w:p>
      <w:pPr>
        <w:pStyle w:val="ListParagraph"/>
        <w:numPr>
          <w:ilvl w:val="0"/>
          <w:numId w:val="2"/>
        </w:numPr>
        <w:spacing w:after="50"/>
      </w:pPr>
      <w:r>
        <w:t xml:space="preserve">Only one algorithm was tested — no comparative benchmark.</w:t>
      </w:r>
    </w:p>
    <w:p>
      <w:pPr>
        <w:pStyle w:val="ListParagraph"/>
        <w:numPr>
          <w:ilvl w:val="0"/>
          <w:numId w:val="2"/>
        </w:numPr>
        <w:spacing w:after="50"/>
      </w:pPr>
      <w:r>
        <w:t xml:space="preserve">Self-report bias is possible.</w:t>
      </w:r>
    </w:p>
    <w:p>
      <w:pPr>
        <w:spacing w:after="80" w:before="160"/>
      </w:pPr>
      <w:r>
        <w:rPr>
          <w:b/>
          <w:bCs/>
          <w:sz w:val="22"/>
          <w:szCs w:val="22"/>
        </w:rPr>
        <w:t xml:space="preserve">Conclusion</w:t>
      </w:r>
    </w:p>
    <w:p>
      <w:pPr>
        <w:spacing w:after="140"/>
      </w:pPr>
      <w:r>
        <w:t xml:space="preserve">A simple Naive Bayes model achieved 78.03% accuracy (Kappa 0.66) predicting depression severity from demographic and lifestyle data alone, supporting the case that even lightweight, interpretable models can meaningfully assist early screening — though broader comparison against other algorithms is recommended.</w:t>
      </w:r>
    </w:p>
    <w:p>
      <w:pPr>
        <w:spacing w:after="140"/>
      </w:pPr>
      <w:r>
        <w:rPr>
          <w:i/>
          <w:iCs/>
          <w:color w:val="595959"/>
          <w:sz w:val="18"/>
          <w:szCs w:val="18"/>
        </w:rPr>
        <w:t xml:space="preserve">Paper link: https://arxiv.org/abs/2307.14371</w:t>
      </w:r>
    </w:p>
    <w:p>
      <w:pPr>
        <w:pStyle w:val="Heading2"/>
        <w:spacing w:after="40" w:before="320"/>
      </w:pPr>
      <w:r>
        <w:rPr>
          <w:b/>
          <w:bCs/>
          <w:color w:val="1F3864"/>
          <w:sz w:val="24"/>
          <w:szCs w:val="24"/>
        </w:rPr>
        <w:t xml:space="preserve">Report 6: </w:t>
      </w:r>
      <w:r>
        <w:rPr>
          <w:b/>
          <w:bCs/>
          <w:sz w:val="24"/>
          <w:szCs w:val="24"/>
        </w:rPr>
        <w:t xml:space="preserve">Digital Phenotyping for Adolescent Mental Health: A Feasibility Study Employing Machine Learning to Predict Mental Health Risk From Active and Passive Smartphone Data</w:t>
      </w:r>
    </w:p>
    <w:p>
      <w:pPr>
        <w:spacing w:after="140"/>
      </w:pPr>
      <w:r>
        <w:rPr>
          <w:i/>
          <w:iCs/>
          <w:color w:val="595959"/>
          <w:sz w:val="20"/>
          <w:szCs w:val="20"/>
        </w:rPr>
        <w:t xml:space="preserve">Reviewed by: Zainib (231370254)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788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2200"/>
            <w:tcMar>
              <w:top w:type="dxa" w:w="80"/>
              <w:left w:type="dxa" w:w="100"/>
              <w:bottom w:type="dxa" w:w="80"/>
              <w:right w:type="dxa" w:w="100"/>
            </w:tcMar>
            <w:vAlign w:val="center"/>
          </w:tcPr>
          <w:p>
            <w:r>
              <w:rPr>
                <w:b w:val="false"/>
                <w:bCs w:val="false"/>
                <w:sz w:val="20"/>
                <w:szCs w:val="20"/>
              </w:rPr>
              <w:t xml:space="preserve">Authors</w:t>
            </w:r>
          </w:p>
        </w:tc>
        <w:tc>
          <w:tcPr>
            <w:tcW w:type="dxa" w:w="7880"/>
            <w:tcMar>
              <w:top w:type="dxa" w:w="80"/>
              <w:left w:type="dxa" w:w="100"/>
              <w:bottom w:type="dxa" w:w="80"/>
              <w:right w:type="dxa" w:w="100"/>
            </w:tcMar>
            <w:vAlign w:val="center"/>
          </w:tcPr>
          <w:p>
            <w:r>
              <w:rPr>
                <w:b w:val="false"/>
                <w:bCs w:val="false"/>
                <w:sz w:val="20"/>
                <w:szCs w:val="20"/>
              </w:rPr>
              <w:t xml:space="preserve">Balasundaram Kadirvelu, Teresa Bellido Bel, Aglaia Freccero, Martina Di Simplicio, Dasha Nicholls, A. Aldo Faisal</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Year / Venue</w:t>
            </w:r>
          </w:p>
        </w:tc>
        <w:tc>
          <w:tcPr>
            <w:tcW w:type="dxa" w:w="7880"/>
            <w:shd w:fill="F2F2F2" w:val="clear"/>
            <w:tcMar>
              <w:top w:type="dxa" w:w="80"/>
              <w:left w:type="dxa" w:w="100"/>
              <w:bottom w:type="dxa" w:w="80"/>
              <w:right w:type="dxa" w:w="100"/>
            </w:tcMar>
            <w:vAlign w:val="center"/>
          </w:tcPr>
          <w:p>
            <w:r>
              <w:rPr>
                <w:b w:val="false"/>
                <w:bCs w:val="false"/>
                <w:sz w:val="20"/>
                <w:szCs w:val="20"/>
              </w:rPr>
              <w:t xml:space="preserve">2025 — arXiv</w:t>
            </w:r>
          </w:p>
        </w:tc>
      </w:tr>
      <w:tr>
        <w:tc>
          <w:tcPr>
            <w:tcW w:type="dxa" w:w="2200"/>
            <w:tcMar>
              <w:top w:type="dxa" w:w="80"/>
              <w:left w:type="dxa" w:w="100"/>
              <w:bottom w:type="dxa" w:w="80"/>
              <w:right w:type="dxa" w:w="100"/>
            </w:tcMar>
            <w:vAlign w:val="center"/>
          </w:tcPr>
          <w:p>
            <w:r>
              <w:rPr>
                <w:b w:val="false"/>
                <w:bCs w:val="false"/>
                <w:sz w:val="20"/>
                <w:szCs w:val="20"/>
              </w:rPr>
              <w:t xml:space="preserve">Models Compared</w:t>
            </w:r>
          </w:p>
        </w:tc>
        <w:tc>
          <w:tcPr>
            <w:tcW w:type="dxa" w:w="7880"/>
            <w:tcMar>
              <w:top w:type="dxa" w:w="80"/>
              <w:left w:type="dxa" w:w="100"/>
              <w:bottom w:type="dxa" w:w="80"/>
              <w:right w:type="dxa" w:w="100"/>
            </w:tcMar>
            <w:vAlign w:val="center"/>
          </w:tcPr>
          <w:p>
            <w:r>
              <w:rPr>
                <w:b w:val="false"/>
                <w:bCs w:val="false"/>
                <w:sz w:val="20"/>
                <w:szCs w:val="20"/>
              </w:rPr>
              <w:t xml:space="preserve">Contrastive Learning-Based Neural Network (proposed), a standard Multi-Layer Perceptron baseline, and CatBoost as a gradient-boosting benchmark.</w:t>
            </w:r>
          </w:p>
        </w:tc>
      </w:tr>
    </w:tbl>
    <w:p>
      <w:pPr>
        <w:spacing w:after="120"/>
      </w:pPr>
    </w:p>
    <w:p>
      <w:pPr>
        <w:spacing w:after="80" w:before="160"/>
      </w:pPr>
      <w:r>
        <w:rPr>
          <w:b/>
          <w:bCs/>
          <w:sz w:val="22"/>
          <w:szCs w:val="22"/>
        </w:rPr>
        <w:t xml:space="preserve">Problem Addressed</w:t>
      </w:r>
    </w:p>
    <w:p>
      <w:pPr>
        <w:spacing w:after="140"/>
      </w:pPr>
      <w:r>
        <w:t xml:space="preserve">Adolescent mental health disorders often go undetected because many young people don't seek professional help. This feasibility study tests whether smartphone-based digital phenotyping — combining self-reported and passive sensor data — can predict mental health risk.</w:t>
      </w:r>
    </w:p>
    <w:p>
      <w:pPr>
        <w:spacing w:after="80" w:before="160"/>
      </w:pPr>
      <w:r>
        <w:rPr>
          <w:b/>
          <w:bCs/>
          <w:sz w:val="22"/>
          <w:szCs w:val="22"/>
        </w:rPr>
        <w:t xml:space="preserve">Dataset</w:t>
      </w:r>
    </w:p>
    <w:p>
      <w:pPr>
        <w:spacing w:after="140"/>
      </w:pPr>
      <w:r>
        <w:t xml:space="preserve">103 adolescents from three London secondary schools, collected via the Mindcraft app over ~14 days. Active data: self-reported mood, sleep quality, confidence, loneliness, motivation, energy, negative/racing thoughts. Passive data: steps, GPS/mobility, app usage, screen brightness, battery, ambient light/noise — engineered into 92 passive sensing features. Outcomes: SDQ high risk, insomnia, suicidal ideation, and eating disorders.</w:t>
      </w:r>
    </w:p>
    <w:p>
      <w:pPr>
        <w:spacing w:after="80" w:before="160"/>
      </w:pPr>
      <w:r>
        <w:rPr>
          <w:b/>
          <w:bCs/>
          <w:sz w:val="22"/>
          <w:szCs w:val="22"/>
        </w:rPr>
        <w:t xml:space="preserve">Methodology</w:t>
      </w:r>
    </w:p>
    <w:p>
      <w:pPr>
        <w:spacing w:after="140"/>
      </w:pPr>
      <w:r>
        <w:t xml:space="preserve">Active and passive data were collected via the app; 92 passive features were engineered from raw sensor signals. A contrastive pretraining phase (triplet margin loss) learned stable per-user representations, fine-tuned via a two-layer MLP classifier. Models were evaluated with Leave-One-Subject-Out Cross-Validation (LOSO-CV); SHAP identified influential features.</w:t>
      </w:r>
    </w:p>
    <w:p>
      <w:pPr>
        <w:spacing w:after="80" w:before="160"/>
      </w:pPr>
      <w:r>
        <w:rPr>
          <w:b/>
          <w:bCs/>
          <w:sz w:val="22"/>
          <w:szCs w:val="22"/>
        </w:rPr>
        <w:t xml:space="preserve">Evaluation Metrics</w:t>
      </w:r>
    </w:p>
    <w:p>
      <w:pPr>
        <w:spacing w:after="140"/>
      </w:pPr>
      <w:r>
        <w:t xml:space="preserve">Balanced Accuracy, Accuracy, Precision, Recall, F1 (incl. Macro), Sensitivity, Specificity, AUC, AUC-PR.</w:t>
      </w:r>
    </w:p>
    <w:p>
      <w:pPr>
        <w:spacing w:after="80" w:before="160"/>
      </w:pPr>
      <w:r>
        <w:rPr>
          <w:b/>
          <w:bCs/>
          <w:sz w:val="22"/>
          <w:szCs w:val="22"/>
        </w:rPr>
        <w:t xml:space="preserve">Results</w:t>
      </w:r>
    </w:p>
    <w:p>
      <w:pPr>
        <w:spacing w:after="140"/>
      </w:pPr>
      <w:r>
        <w:t xml:space="preserve">The Contrastive Learning model was the best overall performer, with Balanced Accuracy of 0.71 (SDQ high risk), 0.67 (insomnia), 0.77 (suicidal ideation — the highest), and 0.70 (eating disorder).</w:t>
      </w:r>
    </w:p>
    <w:p>
      <w:pPr>
        <w:spacing w:after="80" w:before="160"/>
      </w:pPr>
      <w:r>
        <w:rPr>
          <w:b/>
          <w:bCs/>
          <w:sz w:val="22"/>
          <w:szCs w:val="22"/>
        </w:rPr>
        <w:t xml:space="preserve">Key Findings</w:t>
      </w:r>
    </w:p>
    <w:p>
      <w:pPr>
        <w:pStyle w:val="ListParagraph"/>
        <w:numPr>
          <w:ilvl w:val="0"/>
          <w:numId w:val="2"/>
        </w:numPr>
        <w:spacing w:after="50"/>
      </w:pPr>
      <w:r>
        <w:t xml:space="preserve">Combining active + passive data improves prediction over either alone.</w:t>
      </w:r>
    </w:p>
    <w:p>
      <w:pPr>
        <w:pStyle w:val="ListParagraph"/>
        <w:numPr>
          <w:ilvl w:val="0"/>
          <w:numId w:val="2"/>
        </w:numPr>
        <w:spacing w:after="50"/>
      </w:pPr>
      <w:r>
        <w:t xml:space="preserve">Passive sensing carries real behavioral signal.</w:t>
      </w:r>
    </w:p>
    <w:p>
      <w:pPr>
        <w:pStyle w:val="ListParagraph"/>
        <w:numPr>
          <w:ilvl w:val="0"/>
          <w:numId w:val="2"/>
        </w:numPr>
        <w:spacing w:after="50"/>
      </w:pPr>
      <w:r>
        <w:t xml:space="preserve">Contrastive learning improves robustness.</w:t>
      </w:r>
    </w:p>
    <w:p>
      <w:pPr>
        <w:pStyle w:val="ListParagraph"/>
        <w:numPr>
          <w:ilvl w:val="0"/>
          <w:numId w:val="2"/>
        </w:numPr>
        <w:spacing w:after="50"/>
      </w:pPr>
      <w:r>
        <w:t xml:space="preserve">Negative/racing thoughts, location entropy, and activity level were key predictors.</w:t>
      </w:r>
    </w:p>
    <w:p>
      <w:pPr>
        <w:spacing w:after="80" w:before="160"/>
      </w:pPr>
      <w:r>
        <w:rPr>
          <w:b/>
          <w:bCs/>
          <w:sz w:val="22"/>
          <w:szCs w:val="22"/>
        </w:rPr>
        <w:t xml:space="preserve">Limitations</w:t>
      </w:r>
    </w:p>
    <w:p>
      <w:pPr>
        <w:pStyle w:val="ListParagraph"/>
        <w:numPr>
          <w:ilvl w:val="0"/>
          <w:numId w:val="2"/>
        </w:numPr>
        <w:spacing w:after="50"/>
      </w:pPr>
      <w:r>
        <w:t xml:space="preserve">Small sample (103) from only three schools.</w:t>
      </w:r>
    </w:p>
    <w:p>
      <w:pPr>
        <w:pStyle w:val="ListParagraph"/>
        <w:numPr>
          <w:ilvl w:val="0"/>
          <w:numId w:val="2"/>
        </w:numPr>
        <w:spacing w:after="50"/>
      </w:pPr>
      <w:r>
        <w:t xml:space="preserve">Gender imbalance in the sample.</w:t>
      </w:r>
    </w:p>
    <w:p>
      <w:pPr>
        <w:pStyle w:val="ListParagraph"/>
        <w:numPr>
          <w:ilvl w:val="0"/>
          <w:numId w:val="2"/>
        </w:numPr>
        <w:spacing w:after="50"/>
      </w:pPr>
      <w:r>
        <w:t xml:space="preserve">Short (~2-week) monitoring window.</w:t>
      </w:r>
    </w:p>
    <w:p>
      <w:pPr>
        <w:pStyle w:val="ListParagraph"/>
        <w:numPr>
          <w:ilvl w:val="0"/>
          <w:numId w:val="2"/>
        </w:numPr>
        <w:spacing w:after="50"/>
      </w:pPr>
      <w:r>
        <w:t xml:space="preserve">Weaker performance near risk-decision thresholds.</w:t>
      </w:r>
    </w:p>
    <w:p>
      <w:pPr>
        <w:spacing w:after="80" w:before="160"/>
      </w:pPr>
      <w:r>
        <w:rPr>
          <w:b/>
          <w:bCs/>
          <w:sz w:val="22"/>
          <w:szCs w:val="22"/>
        </w:rPr>
        <w:t xml:space="preserve">Conclusion</w:t>
      </w:r>
    </w:p>
    <w:p>
      <w:pPr>
        <w:spacing w:after="140"/>
      </w:pPr>
      <w:r>
        <w:t xml:space="preserve">Smartphone-based digital phenotyping, combining active self-reports with 92 engineered passive-sensing features, showed real feasibility for adolescent mental health screening, with a contrastive-learning neural network reaching up to 77% balanced accuracy for suicidal ideation — a promising but early-stage direction that needs larger, longer studies to confirm.</w:t>
      </w:r>
    </w:p>
    <w:p>
      <w:pPr>
        <w:spacing w:after="140"/>
      </w:pPr>
      <w:r>
        <w:rPr>
          <w:i/>
          <w:iCs/>
          <w:color w:val="595959"/>
          <w:sz w:val="18"/>
          <w:szCs w:val="18"/>
        </w:rPr>
        <w:t xml:space="preserve">Paper link: https://arxiv.org/abs/2501.08851</w:t>
      </w:r>
    </w:p>
    <w:p>
      <w:r>
        <w:br w:type="page"/>
      </w:r>
    </w:p>
    <w:p>
      <w:pPr>
        <w:pStyle w:val="Heading1"/>
        <w:spacing w:after="160" w:before="320"/>
      </w:pPr>
      <w:r>
        <w:t xml:space="preserve">3. Cross-Paper Synthesis</w:t>
      </w:r>
    </w:p>
    <w:p>
      <w:pPr>
        <w:pStyle w:val="Heading2"/>
        <w:spacing w:after="100" w:before="220"/>
      </w:pPr>
      <w:r>
        <w:t xml:space="preserve">3.1 Datasets and Sample Sizes</w:t>
      </w:r>
    </w:p>
    <w:p>
      <w:pPr>
        <w:spacing w:after="140"/>
      </w:pPr>
      <w:r>
        <w:t xml:space="preserve">Sample sizes across the six papers ranged widely, from 103 adolescents (Zainib's digital phenotyping study) to 3,561 students (Report 3's Japanese survey study) and 210,000+ behavioral records (Report 1's CES dataset). Most studies relied on single-institution, self-reported survey data, similar to the questionnaire-based approach (PHQ-9-family instruments) this group's own project uses; only Report 1 and Zainib's review incorporated passive smartphone-sensing data alongside self-reports.</w:t>
      </w:r>
    </w:p>
    <w:p>
      <w:pPr>
        <w:pStyle w:val="Heading2"/>
        <w:spacing w:after="100" w:before="220"/>
      </w:pPr>
      <w:r>
        <w:t xml:space="preserve">3.2 Models Used Across the Literature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F3864" w:val="clear"/>
            <w:tcMar>
              <w:top w:type="dxa" w:w="80"/>
              <w:left w:type="dxa" w:w="100"/>
              <w:bottom w:type="dxa" w:w="80"/>
              <w:right w:type="dxa" w:w="100"/>
            </w:tcMar>
            <w:vAlign w:val="center"/>
          </w:tcPr>
          <w:p>
            <w:r>
              <w:rPr>
                <w:b/>
                <w:bCs/>
                <w:color w:val="FFFFFF"/>
                <w:sz w:val="20"/>
                <w:szCs w:val="20"/>
              </w:rPr>
              <w:t xml:space="preserve">Model Family</w:t>
            </w:r>
          </w:p>
        </w:tc>
        <w:tc>
          <w:tcPr>
            <w:tcW w:type="dxa" w:w="5880"/>
            <w:shd w:fill="1F3864" w:val="clear"/>
            <w:tcMar>
              <w:top w:type="dxa" w:w="80"/>
              <w:left w:type="dxa" w:w="100"/>
              <w:bottom w:type="dxa" w:w="80"/>
              <w:right w:type="dxa" w:w="100"/>
            </w:tcMar>
            <w:vAlign w:val="center"/>
          </w:tcPr>
          <w:p>
            <w:r>
              <w:rPr>
                <w:b/>
                <w:bCs/>
                <w:color w:val="FFFFFF"/>
                <w:sz w:val="20"/>
                <w:szCs w:val="20"/>
              </w:rPr>
              <w:t xml:space="preserve">Appeared In</w:t>
            </w:r>
          </w:p>
        </w:tc>
      </w:tr>
      <w:tr>
        <w:tc>
          <w:tcPr>
            <w:tcW w:type="dxa" w:w="4200"/>
            <w:tcMar>
              <w:top w:type="dxa" w:w="80"/>
              <w:left w:type="dxa" w:w="100"/>
              <w:bottom w:type="dxa" w:w="80"/>
              <w:right w:type="dxa" w:w="100"/>
            </w:tcMar>
            <w:vAlign w:val="center"/>
          </w:tcPr>
          <w:p>
            <w:r>
              <w:rPr>
                <w:b w:val="false"/>
                <w:bCs w:val="false"/>
                <w:sz w:val="20"/>
                <w:szCs w:val="20"/>
              </w:rPr>
              <w:t xml:space="preserve">Logistic Regression</w:t>
            </w:r>
          </w:p>
        </w:tc>
        <w:tc>
          <w:tcPr>
            <w:tcW w:type="dxa" w:w="5880"/>
            <w:tcMar>
              <w:top w:type="dxa" w:w="80"/>
              <w:left w:type="dxa" w:w="100"/>
              <w:bottom w:type="dxa" w:w="80"/>
              <w:right w:type="dxa" w:w="100"/>
            </w:tcMar>
            <w:vAlign w:val="center"/>
          </w:tcPr>
          <w:p>
            <w:r>
              <w:rPr>
                <w:b w:val="false"/>
                <w:bCs w:val="false"/>
                <w:sz w:val="20"/>
                <w:szCs w:val="20"/>
              </w:rPr>
              <w:t xml:space="preserve">Reports 2, 3</w:t>
            </w:r>
          </w:p>
        </w:tc>
      </w:tr>
      <w:tr>
        <w:tc>
          <w:tcPr>
            <w:tcW w:type="dxa" w:w="4200"/>
            <w:shd w:fill="F2F2F2" w:val="clear"/>
            <w:tcMar>
              <w:top w:type="dxa" w:w="80"/>
              <w:left w:type="dxa" w:w="100"/>
              <w:bottom w:type="dxa" w:w="80"/>
              <w:right w:type="dxa" w:w="100"/>
            </w:tcMar>
            <w:vAlign w:val="center"/>
          </w:tcPr>
          <w:p>
            <w:r>
              <w:rPr>
                <w:b w:val="false"/>
                <w:bCs w:val="false"/>
                <w:sz w:val="20"/>
                <w:szCs w:val="20"/>
              </w:rPr>
              <w:t xml:space="preserve">Naive Bayes</w:t>
            </w:r>
          </w:p>
        </w:tc>
        <w:tc>
          <w:tcPr>
            <w:tcW w:type="dxa" w:w="5880"/>
            <w:shd w:fill="F2F2F2" w:val="clear"/>
            <w:tcMar>
              <w:top w:type="dxa" w:w="80"/>
              <w:left w:type="dxa" w:w="100"/>
              <w:bottom w:type="dxa" w:w="80"/>
              <w:right w:type="dxa" w:w="100"/>
            </w:tcMar>
            <w:vAlign w:val="center"/>
          </w:tcPr>
          <w:p>
            <w:r>
              <w:rPr>
                <w:b w:val="false"/>
                <w:bCs w:val="false"/>
                <w:sz w:val="20"/>
                <w:szCs w:val="20"/>
              </w:rPr>
              <w:t xml:space="preserve">Report 5</w:t>
            </w:r>
          </w:p>
        </w:tc>
      </w:tr>
      <w:tr>
        <w:tc>
          <w:tcPr>
            <w:tcW w:type="dxa" w:w="4200"/>
            <w:tcMar>
              <w:top w:type="dxa" w:w="80"/>
              <w:left w:type="dxa" w:w="100"/>
              <w:bottom w:type="dxa" w:w="80"/>
              <w:right w:type="dxa" w:w="100"/>
            </w:tcMar>
            <w:vAlign w:val="center"/>
          </w:tcPr>
          <w:p>
            <w:r>
              <w:rPr>
                <w:b w:val="false"/>
                <w:bCs w:val="false"/>
                <w:sz w:val="20"/>
                <w:szCs w:val="20"/>
              </w:rPr>
              <w:t xml:space="preserve">Random Forest</w:t>
            </w:r>
          </w:p>
        </w:tc>
        <w:tc>
          <w:tcPr>
            <w:tcW w:type="dxa" w:w="5880"/>
            <w:tcMar>
              <w:top w:type="dxa" w:w="80"/>
              <w:left w:type="dxa" w:w="100"/>
              <w:bottom w:type="dxa" w:w="80"/>
              <w:right w:type="dxa" w:w="100"/>
            </w:tcMar>
            <w:vAlign w:val="center"/>
          </w:tcPr>
          <w:p>
            <w:r>
              <w:rPr>
                <w:b w:val="false"/>
                <w:bCs w:val="false"/>
                <w:sz w:val="20"/>
                <w:szCs w:val="20"/>
              </w:rPr>
              <w:t xml:space="preserve">Reports 1 (feature importance), 2, 3, 4</w:t>
            </w:r>
          </w:p>
        </w:tc>
      </w:tr>
      <w:tr>
        <w:tc>
          <w:tcPr>
            <w:tcW w:type="dxa" w:w="4200"/>
            <w:shd w:fill="F2F2F2" w:val="clear"/>
            <w:tcMar>
              <w:top w:type="dxa" w:w="80"/>
              <w:left w:type="dxa" w:w="100"/>
              <w:bottom w:type="dxa" w:w="80"/>
              <w:right w:type="dxa" w:w="100"/>
            </w:tcMar>
            <w:vAlign w:val="center"/>
          </w:tcPr>
          <w:p>
            <w:r>
              <w:rPr>
                <w:b w:val="false"/>
                <w:bCs w:val="false"/>
                <w:sz w:val="20"/>
                <w:szCs w:val="20"/>
              </w:rPr>
              <w:t xml:space="preserve">SVM</w:t>
            </w:r>
          </w:p>
        </w:tc>
        <w:tc>
          <w:tcPr>
            <w:tcW w:type="dxa" w:w="5880"/>
            <w:shd w:fill="F2F2F2" w:val="clear"/>
            <w:tcMar>
              <w:top w:type="dxa" w:w="80"/>
              <w:left w:type="dxa" w:w="100"/>
              <w:bottom w:type="dxa" w:w="80"/>
              <w:right w:type="dxa" w:w="100"/>
            </w:tcMar>
            <w:vAlign w:val="center"/>
          </w:tcPr>
          <w:p>
            <w:r>
              <w:rPr>
                <w:b w:val="false"/>
                <w:bCs w:val="false"/>
                <w:sz w:val="20"/>
                <w:szCs w:val="20"/>
              </w:rPr>
              <w:t xml:space="preserve">Reports 2, 4</w:t>
            </w:r>
          </w:p>
        </w:tc>
      </w:tr>
      <w:tr>
        <w:tc>
          <w:tcPr>
            <w:tcW w:type="dxa" w:w="4200"/>
            <w:tcMar>
              <w:top w:type="dxa" w:w="80"/>
              <w:left w:type="dxa" w:w="100"/>
              <w:bottom w:type="dxa" w:w="80"/>
              <w:right w:type="dxa" w:w="100"/>
            </w:tcMar>
            <w:vAlign w:val="center"/>
          </w:tcPr>
          <w:p>
            <w:r>
              <w:rPr>
                <w:b w:val="false"/>
                <w:bCs w:val="false"/>
                <w:sz w:val="20"/>
                <w:szCs w:val="20"/>
              </w:rPr>
              <w:t xml:space="preserve">Gradient Boosting / XGBoost / LightGBM / CatBoost</w:t>
            </w:r>
          </w:p>
        </w:tc>
        <w:tc>
          <w:tcPr>
            <w:tcW w:type="dxa" w:w="5880"/>
            <w:tcMar>
              <w:top w:type="dxa" w:w="80"/>
              <w:left w:type="dxa" w:w="100"/>
              <w:bottom w:type="dxa" w:w="80"/>
              <w:right w:type="dxa" w:w="100"/>
            </w:tcMar>
            <w:vAlign w:val="center"/>
          </w:tcPr>
          <w:p>
            <w:r>
              <w:rPr>
                <w:b w:val="false"/>
                <w:bCs w:val="false"/>
                <w:sz w:val="20"/>
                <w:szCs w:val="20"/>
              </w:rPr>
              <w:t xml:space="preserve">Reports 2, 3, 4, Zainib's review</w:t>
            </w:r>
          </w:p>
        </w:tc>
      </w:tr>
      <w:tr>
        <w:tc>
          <w:tcPr>
            <w:tcW w:type="dxa" w:w="4200"/>
            <w:shd w:fill="F2F2F2" w:val="clear"/>
            <w:tcMar>
              <w:top w:type="dxa" w:w="80"/>
              <w:left w:type="dxa" w:w="100"/>
              <w:bottom w:type="dxa" w:w="80"/>
              <w:right w:type="dxa" w:w="100"/>
            </w:tcMar>
            <w:vAlign w:val="center"/>
          </w:tcPr>
          <w:p>
            <w:r>
              <w:rPr>
                <w:b w:val="false"/>
                <w:bCs w:val="false"/>
                <w:sz w:val="20"/>
                <w:szCs w:val="20"/>
              </w:rPr>
              <w:t xml:space="preserve">Neural Networks / Deep Learning</w:t>
            </w:r>
          </w:p>
        </w:tc>
        <w:tc>
          <w:tcPr>
            <w:tcW w:type="dxa" w:w="5880"/>
            <w:shd w:fill="F2F2F2" w:val="clear"/>
            <w:tcMar>
              <w:top w:type="dxa" w:w="80"/>
              <w:left w:type="dxa" w:w="100"/>
              <w:bottom w:type="dxa" w:w="80"/>
              <w:right w:type="dxa" w:w="100"/>
            </w:tcMar>
            <w:vAlign w:val="center"/>
          </w:tcPr>
          <w:p>
            <w:r>
              <w:rPr>
                <w:b w:val="false"/>
                <w:bCs w:val="false"/>
                <w:sz w:val="20"/>
                <w:szCs w:val="20"/>
              </w:rPr>
              <w:t xml:space="preserve">Reports 1, Zainib's review</w:t>
            </w:r>
          </w:p>
        </w:tc>
      </w:tr>
      <w:tr>
        <w:tc>
          <w:tcPr>
            <w:tcW w:type="dxa" w:w="4200"/>
            <w:tcMar>
              <w:top w:type="dxa" w:w="80"/>
              <w:left w:type="dxa" w:w="100"/>
              <w:bottom w:type="dxa" w:w="80"/>
              <w:right w:type="dxa" w:w="100"/>
            </w:tcMar>
            <w:vAlign w:val="center"/>
          </w:tcPr>
          <w:p>
            <w:r>
              <w:rPr>
                <w:b w:val="false"/>
                <w:bCs w:val="false"/>
                <w:sz w:val="20"/>
                <w:szCs w:val="20"/>
              </w:rPr>
              <w:t xml:space="preserve">Ensemble methods (Voting, Stacking)</w:t>
            </w:r>
          </w:p>
        </w:tc>
        <w:tc>
          <w:tcPr>
            <w:tcW w:type="dxa" w:w="5880"/>
            <w:tcMar>
              <w:top w:type="dxa" w:w="80"/>
              <w:left w:type="dxa" w:w="100"/>
              <w:bottom w:type="dxa" w:w="80"/>
              <w:right w:type="dxa" w:w="100"/>
            </w:tcMar>
            <w:vAlign w:val="center"/>
          </w:tcPr>
          <w:p>
            <w:r>
              <w:rPr>
                <w:b w:val="false"/>
                <w:bCs w:val="false"/>
                <w:sz w:val="20"/>
                <w:szCs w:val="20"/>
              </w:rPr>
              <w:t xml:space="preserve">Report 4</w:t>
            </w:r>
          </w:p>
        </w:tc>
      </w:tr>
    </w:tbl>
    <w:p>
      <w:pPr>
        <w:spacing w:after="160"/>
      </w:pPr>
    </w:p>
    <w:p>
      <w:pPr>
        <w:spacing w:after="140"/>
      </w:pPr>
      <w:r>
        <w:t xml:space="preserve">This lines up closely with the five models proposed in this group's own methodology (Logistic Regression, Naive Bayes, SVM, Random Forest, ANN) — every one of them appears in at least one reviewed paper, which supports the group's model choices as consistent with current practice in the field.</w:t>
      </w:r>
    </w:p>
    <w:p>
      <w:pPr>
        <w:pStyle w:val="Heading2"/>
        <w:spacing w:after="100" w:before="220"/>
      </w:pPr>
      <w:r>
        <w:t xml:space="preserve">3.3 Common Themes</w:t>
      </w:r>
    </w:p>
    <w:p>
      <w:pPr>
        <w:pStyle w:val="ListParagraph"/>
        <w:numPr>
          <w:ilvl w:val="0"/>
          <w:numId w:val="2"/>
        </w:numPr>
        <w:spacing w:after="50"/>
      </w:pPr>
      <w:r>
        <w:t xml:space="preserve">Class imbalance and small/single-institution samples are recurring limitations across nearly every paper, mirroring a challenge this group also encountered (about 94.6% Non-Distressed vs. 5.4% Distressed in the project's own dataset).</w:t>
      </w:r>
    </w:p>
    <w:p>
      <w:pPr>
        <w:pStyle w:val="ListParagraph"/>
        <w:numPr>
          <w:ilvl w:val="0"/>
          <w:numId w:val="2"/>
        </w:numPr>
        <w:spacing w:after="50"/>
      </w:pPr>
      <w:r>
        <w:t xml:space="preserve">Ensemble and boosting methods (LightGBM, CatBoost, Stacking) consistently outperformed single classifiers when the paper compared several, though this typically trades interpretability for accuracy.</w:t>
      </w:r>
    </w:p>
    <w:p>
      <w:pPr>
        <w:pStyle w:val="ListParagraph"/>
        <w:numPr>
          <w:ilvl w:val="0"/>
          <w:numId w:val="2"/>
        </w:numPr>
        <w:spacing w:after="50"/>
      </w:pPr>
      <w:r>
        <w:t xml:space="preserve">No single algorithm won across every paper or every outcome — the best model depended on the dataset and the specific mental health outcome being predicted, which supports this group's own decision to compare multiple models rather than assume one is universally best.</w:t>
      </w:r>
    </w:p>
    <w:p>
      <w:pPr>
        <w:pStyle w:val="ListParagraph"/>
        <w:numPr>
          <w:ilvl w:val="0"/>
          <w:numId w:val="2"/>
        </w:numPr>
        <w:spacing w:after="50"/>
      </w:pPr>
      <w:r>
        <w:t xml:space="preserve">Several papers stressed interpretability (SHAP, feature importance, I-HOPE's hierarchical design) as being as important as raw accuracy for a mental-health screening context — a consideration this group should keep in mind when reporting its own Phase 5 results.</w:t>
      </w:r>
    </w:p>
    <w:p>
      <w:pPr>
        <w:pStyle w:val="Heading2"/>
        <w:spacing w:after="100" w:before="220"/>
      </w:pPr>
      <w:r>
        <w:t xml:space="preserve">3.4 Relevance to This Project</w:t>
      </w:r>
    </w:p>
    <w:p>
      <w:pPr>
        <w:spacing w:after="140"/>
      </w:pPr>
      <w:r>
        <w:t xml:space="preserve">Collectively, the literature confirms that questionnaire-based, ML-driven mental health screening is an active and validated research direction, that Logistic Regression, Naive Bayes, SVM, Random Forest, and ANN are all reasonable, literature-supported choices, and that class imbalance and limited Recall on the minority (at-risk) class is a field-wide challenge rather than something specific to this group's dataset or models.</w:t>
      </w:r>
    </w:p>
    <w:p>
      <w:pPr>
        <w:pStyle w:val="Heading1"/>
        <w:spacing w:after="160" w:before="320"/>
      </w:pPr>
      <w:r>
        <w:t xml:space="preserve">4. Conclusion</w:t>
      </w:r>
    </w:p>
    <w:p>
      <w:pPr>
        <w:spacing w:after="140"/>
      </w:pPr>
      <w:r>
        <w:t xml:space="preserve">The six papers reviewed collectively demonstrate that machine learning — from simple probabilistic models like Naive Bayes to ensemble methods and deep learning — can meaningfully support student and adolescent mental health screening from questionnaire and/or sensor data, while consistently facing the same challenges this group has already encountered: limited sample diversity, class imbalance, and a trade-off between model complexity and interpretability. These findings directly inform and validate the model choices, evaluation metrics, and cautious framing (educational/screening tool, not diagnostic) already reflected in this group's own project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2026-07-16T05:18:22.769Z</dcterms:created>
  <dcterms:modified xsi:type="dcterms:W3CDTF">2026-07-16T05:18:22.781Z</dcterms:modified>
</cp:coreProperties>
</file>

<file path=docProps/custom.xml><?xml version="1.0" encoding="utf-8"?>
<Properties xmlns="http://schemas.openxmlformats.org/officeDocument/2006/custom-properties" xmlns:vt="http://schemas.openxmlformats.org/officeDocument/2006/docPropsVTypes"/>
</file>