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0"/>
        <w:jc w:val="center"/>
      </w:pPr>
      <w:r>
        <w:t xml:space="preserve">PHASE 6 REPORT</w:t>
      </w:r>
    </w:p>
    <w:p>
      <w:pPr>
        <w:spacing w:after="400"/>
        <w:jc w:val="center"/>
      </w:pPr>
      <w:r>
        <w:rPr>
          <w:b/>
          <w:bCs/>
          <w:color w:val="1F3864"/>
          <w:sz w:val="30"/>
          <w:szCs w:val="30"/>
        </w:rPr>
        <w:t xml:space="preserve">System Development &amp; Documentation</w:t>
      </w:r>
    </w:p>
    <w:p>
      <w:pPr>
        <w:spacing w:after="60"/>
        <w:jc w:val="center"/>
      </w:pPr>
      <w:r>
        <w:rPr>
          <w:b/>
          <w:bCs/>
          <w:sz w:val="22"/>
          <w:szCs w:val="22"/>
        </w:rPr>
        <w:t xml:space="preserve">Project</w:t>
      </w:r>
    </w:p>
    <w:p>
      <w:pPr>
        <w:spacing w:after="400"/>
        <w:jc w:val="center"/>
      </w:pPr>
      <w:r>
        <w:rPr>
          <w:sz w:val="22"/>
          <w:szCs w:val="22"/>
        </w:rPr>
        <w:t xml:space="preserve">Machine Learning-Based Student Mental Health Assessment System with Comparative Model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0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3000"/>
            <w:tcMar>
              <w:top w:type="dxa" w:w="80"/>
              <w:left w:type="dxa" w:w="100"/>
              <w:bottom w:type="dxa" w:w="80"/>
              <w:right w:type="dxa" w:w="100"/>
            </w:tcMar>
            <w:vAlign w:val="center"/>
          </w:tcPr>
          <w:p>
            <w:r>
              <w:rPr>
                <w:b w:val="false"/>
                <w:bCs w:val="false"/>
                <w:sz w:val="20"/>
                <w:szCs w:val="20"/>
              </w:rPr>
              <w:t xml:space="preserve">Submitted To</w:t>
            </w:r>
          </w:p>
        </w:tc>
        <w:tc>
          <w:tcPr>
            <w:tcW w:type="dxa" w:w="7080"/>
            <w:tcMar>
              <w:top w:type="dxa" w:w="80"/>
              <w:left w:type="dxa" w:w="100"/>
              <w:bottom w:type="dxa" w:w="80"/>
              <w:right w:type="dxa" w:w="100"/>
            </w:tcMar>
            <w:vAlign w:val="center"/>
          </w:tcPr>
          <w:p>
            <w:r>
              <w:rPr>
                <w:b w:val="false"/>
                <w:bCs w:val="false"/>
                <w:sz w:val="20"/>
                <w:szCs w:val="20"/>
              </w:rPr>
              <w:t xml:space="preserve">Sir Umar Ramazan</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Course</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Machine Learning</w:t>
            </w:r>
          </w:p>
        </w:tc>
      </w:tr>
      <w:tr>
        <w:tc>
          <w:tcPr>
            <w:tcW w:type="dxa" w:w="3000"/>
            <w:tcMar>
              <w:top w:type="dxa" w:w="80"/>
              <w:left w:type="dxa" w:w="100"/>
              <w:bottom w:type="dxa" w:w="80"/>
              <w:right w:type="dxa" w:w="100"/>
            </w:tcMar>
            <w:vAlign w:val="center"/>
          </w:tcPr>
          <w:p>
            <w:r>
              <w:rPr>
                <w:b w:val="false"/>
                <w:bCs w:val="false"/>
                <w:sz w:val="20"/>
                <w:szCs w:val="20"/>
              </w:rPr>
              <w:t xml:space="preserve">Semester</w:t>
            </w:r>
          </w:p>
        </w:tc>
        <w:tc>
          <w:tcPr>
            <w:tcW w:type="dxa" w:w="7080"/>
            <w:tcMar>
              <w:top w:type="dxa" w:w="80"/>
              <w:left w:type="dxa" w:w="100"/>
              <w:bottom w:type="dxa" w:w="80"/>
              <w:right w:type="dxa" w:w="100"/>
            </w:tcMar>
            <w:vAlign w:val="center"/>
          </w:tcPr>
          <w:p>
            <w:r>
              <w:rPr>
                <w:b w:val="false"/>
                <w:bCs w:val="false"/>
                <w:sz w:val="20"/>
                <w:szCs w:val="20"/>
              </w:rPr>
              <w:t xml:space="preserve">6th</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Department</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Computer Science</w:t>
            </w:r>
          </w:p>
        </w:tc>
      </w:tr>
    </w:tbl>
    <w:p>
      <w:pPr>
        <w:spacing w:after="200"/>
      </w:pPr>
    </w:p>
    <w:p>
      <w:pPr>
        <w:spacing w:after="100"/>
      </w:pPr>
      <w:r>
        <w:rPr>
          <w:b/>
          <w:bCs/>
        </w:rPr>
        <w:t xml:space="preserve">Group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880"/>
      </w:tblGrid>
      <w:tr>
        <w:trPr>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w:t>
            </w:r>
          </w:p>
        </w:tc>
        <w:tc>
          <w:tcPr>
            <w:tcW w:type="dxa" w:w="50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3880"/>
            <w:shd w:fill="1F3864" w:val="clear"/>
            <w:tcMar>
              <w:top w:type="dxa" w:w="80"/>
              <w:left w:type="dxa" w:w="100"/>
              <w:bottom w:type="dxa" w:w="80"/>
              <w:right w:type="dxa" w:w="100"/>
            </w:tcMar>
            <w:vAlign w:val="center"/>
          </w:tcPr>
          <w:p>
            <w:r>
              <w:rPr>
                <w:b/>
                <w:bCs/>
                <w:color w:val="FFFFFF"/>
                <w:sz w:val="20"/>
                <w:szCs w:val="20"/>
              </w:rPr>
              <w:t xml:space="preserve">Roll Number</w:t>
            </w:r>
          </w:p>
        </w:tc>
      </w:tr>
      <w:tr>
        <w:tc>
          <w:tcPr>
            <w:tcW w:type="dxa" w:w="1200"/>
            <w:tcMar>
              <w:top w:type="dxa" w:w="80"/>
              <w:left w:type="dxa" w:w="100"/>
              <w:bottom w:type="dxa" w:w="80"/>
              <w:right w:type="dxa" w:w="100"/>
            </w:tcMar>
            <w:vAlign w:val="center"/>
          </w:tcPr>
          <w:p>
            <w:r>
              <w:rPr>
                <w:b w:val="false"/>
                <w:bCs w:val="false"/>
                <w:sz w:val="20"/>
                <w:szCs w:val="20"/>
              </w:rPr>
              <w:t xml:space="preserve">1.</w:t>
            </w:r>
          </w:p>
        </w:tc>
        <w:tc>
          <w:tcPr>
            <w:tcW w:type="dxa" w:w="5000"/>
            <w:tcMar>
              <w:top w:type="dxa" w:w="80"/>
              <w:left w:type="dxa" w:w="100"/>
              <w:bottom w:type="dxa" w:w="80"/>
              <w:right w:type="dxa" w:w="100"/>
            </w:tcMar>
            <w:vAlign w:val="center"/>
          </w:tcPr>
          <w:p>
            <w:r>
              <w:rPr>
                <w:b w:val="false"/>
                <w:bCs w:val="false"/>
                <w:sz w:val="20"/>
                <w:szCs w:val="20"/>
              </w:rPr>
              <w:t xml:space="preserve">Shifa Aftab</w:t>
            </w:r>
          </w:p>
        </w:tc>
        <w:tc>
          <w:tcPr>
            <w:tcW w:type="dxa" w:w="3880"/>
            <w:tcMar>
              <w:top w:type="dxa" w:w="80"/>
              <w:left w:type="dxa" w:w="100"/>
              <w:bottom w:type="dxa" w:w="80"/>
              <w:right w:type="dxa" w:w="100"/>
            </w:tcMar>
            <w:vAlign w:val="center"/>
          </w:tcPr>
          <w:p>
            <w:r>
              <w:rPr>
                <w:b w:val="false"/>
                <w:bCs w:val="false"/>
                <w:sz w:val="20"/>
                <w:szCs w:val="20"/>
              </w:rPr>
              <w:t xml:space="preserve">231370043</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2.</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Tayyaba Arshad</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231370183</w:t>
            </w:r>
          </w:p>
        </w:tc>
      </w:tr>
      <w:tr>
        <w:tc>
          <w:tcPr>
            <w:tcW w:type="dxa" w:w="1200"/>
            <w:tcMar>
              <w:top w:type="dxa" w:w="80"/>
              <w:left w:type="dxa" w:w="100"/>
              <w:bottom w:type="dxa" w:w="80"/>
              <w:right w:type="dxa" w:w="100"/>
            </w:tcMar>
            <w:vAlign w:val="center"/>
          </w:tcPr>
          <w:p>
            <w:r>
              <w:rPr>
                <w:b w:val="false"/>
                <w:bCs w:val="false"/>
                <w:sz w:val="20"/>
                <w:szCs w:val="20"/>
              </w:rPr>
              <w:t xml:space="preserve">3.</w:t>
            </w:r>
          </w:p>
        </w:tc>
        <w:tc>
          <w:tcPr>
            <w:tcW w:type="dxa" w:w="5000"/>
            <w:tcMar>
              <w:top w:type="dxa" w:w="80"/>
              <w:left w:type="dxa" w:w="100"/>
              <w:bottom w:type="dxa" w:w="80"/>
              <w:right w:type="dxa" w:w="100"/>
            </w:tcMar>
            <w:vAlign w:val="center"/>
          </w:tcPr>
          <w:p>
            <w:r>
              <w:rPr>
                <w:b w:val="false"/>
                <w:bCs w:val="false"/>
                <w:sz w:val="20"/>
                <w:szCs w:val="20"/>
              </w:rPr>
              <w:t xml:space="preserve">Sunbal Nadeem</w:t>
            </w:r>
          </w:p>
        </w:tc>
        <w:tc>
          <w:tcPr>
            <w:tcW w:type="dxa" w:w="3880"/>
            <w:tcMar>
              <w:top w:type="dxa" w:w="80"/>
              <w:left w:type="dxa" w:w="100"/>
              <w:bottom w:type="dxa" w:w="80"/>
              <w:right w:type="dxa" w:w="100"/>
            </w:tcMar>
            <w:vAlign w:val="center"/>
          </w:tcPr>
          <w:p>
            <w:r>
              <w:rPr>
                <w:b w:val="false"/>
                <w:bCs w:val="false"/>
                <w:sz w:val="20"/>
                <w:szCs w:val="20"/>
              </w:rPr>
              <w:t xml:space="preserve">231370014</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4.</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Khadija Yasmin</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231370038</w:t>
            </w:r>
          </w:p>
        </w:tc>
      </w:tr>
      <w:tr>
        <w:tc>
          <w:tcPr>
            <w:tcW w:type="dxa" w:w="1200"/>
            <w:tcMar>
              <w:top w:type="dxa" w:w="80"/>
              <w:left w:type="dxa" w:w="100"/>
              <w:bottom w:type="dxa" w:w="80"/>
              <w:right w:type="dxa" w:w="100"/>
            </w:tcMar>
            <w:vAlign w:val="center"/>
          </w:tcPr>
          <w:p>
            <w:r>
              <w:rPr>
                <w:b w:val="false"/>
                <w:bCs w:val="false"/>
                <w:sz w:val="20"/>
                <w:szCs w:val="20"/>
              </w:rPr>
              <w:t xml:space="preserve">5.</w:t>
            </w:r>
          </w:p>
        </w:tc>
        <w:tc>
          <w:tcPr>
            <w:tcW w:type="dxa" w:w="5000"/>
            <w:tcMar>
              <w:top w:type="dxa" w:w="80"/>
              <w:left w:type="dxa" w:w="100"/>
              <w:bottom w:type="dxa" w:w="80"/>
              <w:right w:type="dxa" w:w="100"/>
            </w:tcMar>
            <w:vAlign w:val="center"/>
          </w:tcPr>
          <w:p>
            <w:r>
              <w:rPr>
                <w:b w:val="false"/>
                <w:bCs w:val="false"/>
                <w:sz w:val="20"/>
                <w:szCs w:val="20"/>
              </w:rPr>
              <w:t xml:space="preserve">Zainib</w:t>
            </w:r>
          </w:p>
        </w:tc>
        <w:tc>
          <w:tcPr>
            <w:tcW w:type="dxa" w:w="3880"/>
            <w:tcMar>
              <w:top w:type="dxa" w:w="80"/>
              <w:left w:type="dxa" w:w="100"/>
              <w:bottom w:type="dxa" w:w="80"/>
              <w:right w:type="dxa" w:w="100"/>
            </w:tcMar>
            <w:vAlign w:val="center"/>
          </w:tcPr>
          <w:p>
            <w:r>
              <w:rPr>
                <w:b w:val="false"/>
                <w:bCs w:val="false"/>
                <w:sz w:val="20"/>
                <w:szCs w:val="20"/>
              </w:rPr>
              <w:t xml:space="preserve">231370254</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Saleema Sadaqat</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231370052</w:t>
            </w:r>
          </w:p>
        </w:tc>
      </w:tr>
    </w:tbl>
    <w:p>
      <w:r>
        <w:br w:type="page"/>
      </w:r>
    </w:p>
    <w:p>
      <w:pPr>
        <w:pStyle w:val="Heading1"/>
        <w:spacing w:after="160" w:before="320"/>
      </w:pPr>
      <w:r>
        <w:t xml:space="preserve">1. Introduction</w:t>
      </w:r>
    </w:p>
    <w:p>
      <w:pPr>
        <w:spacing w:after="160"/>
      </w:pPr>
      <w:r>
        <w:t xml:space="preserve">Phase 6 is the final phase of the project. With the literature review (Phase 1), dataset selection (Phase 2), preprocessing (Phase 3), individual model development (Phase 4), and comparative analysis (Phase 5) already complete, this phase turns the group's best-performing model into a working, user-facing screening tool, and documents how the system was built.</w:t>
      </w:r>
    </w:p>
    <w:p>
      <w:pPr>
        <w:spacing w:after="160"/>
      </w:pPr>
      <w:r>
        <w:t xml:space="preserve">The deliverable is a lightweight web application, built with Streamlit, that lets a user answer a short questionnaire covering demographics, anxiety, sleep, and stress indicators, and receive an instant predicted risk category (Distressed / Non-Distressed) along with a model confidence score.</w:t>
      </w:r>
    </w:p>
    <w:p>
      <w:pPr>
        <w:pStyle w:val="Heading1"/>
        <w:spacing w:after="160" w:before="320"/>
      </w:pPr>
      <w:r>
        <w:t xml:space="preserve">2. Objectives</w:t>
      </w:r>
    </w:p>
    <w:p>
      <w:pPr>
        <w:pStyle w:val="ListParagraph"/>
        <w:numPr>
          <w:ilvl w:val="0"/>
          <w:numId w:val="2"/>
        </w:numPr>
        <w:spacing w:after="60"/>
      </w:pPr>
      <w:r>
        <w:t xml:space="preserve">Deploy the best-performing model identified in Phase 5 behind a simple, usable interface.</w:t>
      </w:r>
    </w:p>
    <w:p>
      <w:pPr>
        <w:pStyle w:val="ListParagraph"/>
        <w:numPr>
          <w:ilvl w:val="0"/>
          <w:numId w:val="2"/>
        </w:numPr>
        <w:spacing w:after="60"/>
      </w:pPr>
      <w:r>
        <w:t xml:space="preserve">Recreate the exact preprocessing pipeline used in Phase 3 so that live user input is transformed identically to the training data.</w:t>
      </w:r>
    </w:p>
    <w:p>
      <w:pPr>
        <w:pStyle w:val="ListParagraph"/>
        <w:numPr>
          <w:ilvl w:val="0"/>
          <w:numId w:val="2"/>
        </w:numPr>
        <w:spacing w:after="60"/>
      </w:pPr>
      <w:r>
        <w:t xml:space="preserve">Provide a clear, honest presentation of results, including a disclaimer that the tool is for educational screening only.</w:t>
      </w:r>
    </w:p>
    <w:p>
      <w:pPr>
        <w:pStyle w:val="ListParagraph"/>
        <w:numPr>
          <w:ilvl w:val="0"/>
          <w:numId w:val="2"/>
        </w:numPr>
        <w:spacing w:after="60"/>
      </w:pPr>
      <w:r>
        <w:t xml:space="preserve">Package the system so it can be run locally by anyone with Python installed.</w:t>
      </w:r>
    </w:p>
    <w:p>
      <w:pPr>
        <w:pStyle w:val="Heading1"/>
        <w:spacing w:after="160" w:before="320"/>
      </w:pPr>
      <w:r>
        <w:t xml:space="preserve">3. Model Selection &amp; Justification</w:t>
      </w:r>
    </w:p>
    <w:p>
      <w:pPr>
        <w:spacing w:after="160"/>
      </w:pPr>
      <w:r>
        <w:t xml:space="preserve">Per the Phase 5 Comparative Analysis, four models were trained and evaluated on the identical, leakage-free feature set and train/test split: Logistic Regression, Artificial Neural Network (ANN), k-Nearest Neighbors (k-NN), and Naive Bayes. Their test-set performance was: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1420"/>
        <w:gridCol w:w="1420"/>
        <w:gridCol w:w="1220"/>
        <w:gridCol w:w="1420"/>
        <w:gridCol w:w="122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Model</w:t>
            </w:r>
          </w:p>
        </w:tc>
        <w:tc>
          <w:tcPr>
            <w:tcW w:type="dxa" w:w="1420"/>
            <w:shd w:fill="1F3864" w:val="clear"/>
            <w:tcMar>
              <w:top w:type="dxa" w:w="80"/>
              <w:left w:type="dxa" w:w="100"/>
              <w:bottom w:type="dxa" w:w="80"/>
              <w:right w:type="dxa" w:w="100"/>
            </w:tcMar>
            <w:vAlign w:val="center"/>
          </w:tcPr>
          <w:p>
            <w:r>
              <w:rPr>
                <w:b/>
                <w:bCs/>
                <w:color w:val="FFFFFF"/>
                <w:sz w:val="20"/>
                <w:szCs w:val="20"/>
              </w:rPr>
              <w:t xml:space="preserve">Accuracy</w:t>
            </w:r>
          </w:p>
        </w:tc>
        <w:tc>
          <w:tcPr>
            <w:tcW w:type="dxa" w:w="1420"/>
            <w:shd w:fill="1F3864" w:val="clear"/>
            <w:tcMar>
              <w:top w:type="dxa" w:w="80"/>
              <w:left w:type="dxa" w:w="100"/>
              <w:bottom w:type="dxa" w:w="80"/>
              <w:right w:type="dxa" w:w="100"/>
            </w:tcMar>
            <w:vAlign w:val="center"/>
          </w:tcPr>
          <w:p>
            <w:r>
              <w:rPr>
                <w:b/>
                <w:bCs/>
                <w:color w:val="FFFFFF"/>
                <w:sz w:val="20"/>
                <w:szCs w:val="20"/>
              </w:rPr>
              <w:t xml:space="preserve">Precision</w:t>
            </w:r>
          </w:p>
        </w:tc>
        <w:tc>
          <w:tcPr>
            <w:tcW w:type="dxa" w:w="1220"/>
            <w:shd w:fill="1F3864" w:val="clear"/>
            <w:tcMar>
              <w:top w:type="dxa" w:w="80"/>
              <w:left w:type="dxa" w:w="100"/>
              <w:bottom w:type="dxa" w:w="80"/>
              <w:right w:type="dxa" w:w="100"/>
            </w:tcMar>
            <w:vAlign w:val="center"/>
          </w:tcPr>
          <w:p>
            <w:r>
              <w:rPr>
                <w:b/>
                <w:bCs/>
                <w:color w:val="FFFFFF"/>
                <w:sz w:val="20"/>
                <w:szCs w:val="20"/>
              </w:rPr>
              <w:t xml:space="preserve">Recall</w:t>
            </w:r>
          </w:p>
        </w:tc>
        <w:tc>
          <w:tcPr>
            <w:tcW w:type="dxa" w:w="1420"/>
            <w:shd w:fill="1F3864" w:val="clear"/>
            <w:tcMar>
              <w:top w:type="dxa" w:w="80"/>
              <w:left w:type="dxa" w:w="100"/>
              <w:bottom w:type="dxa" w:w="80"/>
              <w:right w:type="dxa" w:w="100"/>
            </w:tcMar>
            <w:vAlign w:val="center"/>
          </w:tcPr>
          <w:p>
            <w:r>
              <w:rPr>
                <w:b/>
                <w:bCs/>
                <w:color w:val="FFFFFF"/>
                <w:sz w:val="20"/>
                <w:szCs w:val="20"/>
              </w:rPr>
              <w:t xml:space="preserve">F1-Score</w:t>
            </w:r>
          </w:p>
        </w:tc>
        <w:tc>
          <w:tcPr>
            <w:tcW w:type="dxa" w:w="1220"/>
            <w:shd w:fill="1F3864" w:val="clear"/>
            <w:tcMar>
              <w:top w:type="dxa" w:w="80"/>
              <w:left w:type="dxa" w:w="100"/>
              <w:bottom w:type="dxa" w:w="80"/>
              <w:right w:type="dxa" w:w="100"/>
            </w:tcMar>
            <w:vAlign w:val="center"/>
          </w:tcPr>
          <w:p>
            <w:r>
              <w:rPr>
                <w:b/>
                <w:bCs/>
                <w:color w:val="FFFFFF"/>
                <w:sz w:val="20"/>
                <w:szCs w:val="20"/>
              </w:rPr>
              <w:t xml:space="preserve">ROC-AUC</w:t>
            </w:r>
          </w:p>
        </w:tc>
      </w:tr>
      <w:tr>
        <w:tc>
          <w:tcPr>
            <w:tcW w:type="dxa" w:w="3600"/>
            <w:tcMar>
              <w:top w:type="dxa" w:w="80"/>
              <w:left w:type="dxa" w:w="100"/>
              <w:bottom w:type="dxa" w:w="80"/>
              <w:right w:type="dxa" w:w="100"/>
            </w:tcMar>
            <w:vAlign w:val="center"/>
          </w:tcPr>
          <w:p>
            <w:r>
              <w:rPr>
                <w:b w:val="false"/>
                <w:bCs w:val="false"/>
                <w:sz w:val="20"/>
                <w:szCs w:val="20"/>
              </w:rPr>
              <w:t xml:space="preserve">Logistic Regression</w:t>
            </w:r>
          </w:p>
        </w:tc>
        <w:tc>
          <w:tcPr>
            <w:tcW w:type="dxa" w:w="1420"/>
            <w:tcMar>
              <w:top w:type="dxa" w:w="80"/>
              <w:left w:type="dxa" w:w="100"/>
              <w:bottom w:type="dxa" w:w="80"/>
              <w:right w:type="dxa" w:w="100"/>
            </w:tcMar>
            <w:vAlign w:val="center"/>
          </w:tcPr>
          <w:p>
            <w:r>
              <w:rPr>
                <w:b w:val="false"/>
                <w:bCs w:val="false"/>
                <w:sz w:val="20"/>
                <w:szCs w:val="20"/>
              </w:rPr>
              <w:t xml:space="preserve">96.03%</w:t>
            </w:r>
          </w:p>
        </w:tc>
        <w:tc>
          <w:tcPr>
            <w:tcW w:type="dxa" w:w="1420"/>
            <w:tcMar>
              <w:top w:type="dxa" w:w="80"/>
              <w:left w:type="dxa" w:w="100"/>
              <w:bottom w:type="dxa" w:w="80"/>
              <w:right w:type="dxa" w:w="100"/>
            </w:tcMar>
            <w:vAlign w:val="center"/>
          </w:tcPr>
          <w:p>
            <w:r>
              <w:rPr>
                <w:b w:val="false"/>
                <w:bCs w:val="false"/>
                <w:sz w:val="20"/>
                <w:szCs w:val="20"/>
              </w:rPr>
              <w:t xml:space="preserve">73.97%</w:t>
            </w:r>
          </w:p>
        </w:tc>
        <w:tc>
          <w:tcPr>
            <w:tcW w:type="dxa" w:w="1220"/>
            <w:tcMar>
              <w:top w:type="dxa" w:w="80"/>
              <w:left w:type="dxa" w:w="100"/>
              <w:bottom w:type="dxa" w:w="80"/>
              <w:right w:type="dxa" w:w="100"/>
            </w:tcMar>
            <w:vAlign w:val="center"/>
          </w:tcPr>
          <w:p>
            <w:r>
              <w:rPr>
                <w:b w:val="false"/>
                <w:bCs w:val="false"/>
                <w:sz w:val="20"/>
                <w:szCs w:val="20"/>
              </w:rPr>
              <w:t xml:space="preserve">41.06%</w:t>
            </w:r>
          </w:p>
        </w:tc>
        <w:tc>
          <w:tcPr>
            <w:tcW w:type="dxa" w:w="1420"/>
            <w:tcMar>
              <w:top w:type="dxa" w:w="80"/>
              <w:left w:type="dxa" w:w="100"/>
              <w:bottom w:type="dxa" w:w="80"/>
              <w:right w:type="dxa" w:w="100"/>
            </w:tcMar>
            <w:vAlign w:val="center"/>
          </w:tcPr>
          <w:p>
            <w:r>
              <w:rPr>
                <w:b w:val="false"/>
                <w:bCs w:val="false"/>
                <w:sz w:val="20"/>
                <w:szCs w:val="20"/>
              </w:rPr>
              <w:t xml:space="preserve">52.81%</w:t>
            </w:r>
          </w:p>
        </w:tc>
        <w:tc>
          <w:tcPr>
            <w:tcW w:type="dxa" w:w="1220"/>
            <w:tcMar>
              <w:top w:type="dxa" w:w="80"/>
              <w:left w:type="dxa" w:w="100"/>
              <w:bottom w:type="dxa" w:w="80"/>
              <w:right w:type="dxa" w:w="100"/>
            </w:tcMar>
            <w:vAlign w:val="center"/>
          </w:tcPr>
          <w:p>
            <w:r>
              <w:rPr>
                <w:b w:val="false"/>
                <w:bCs w:val="false"/>
                <w:sz w:val="20"/>
                <w:szCs w:val="20"/>
              </w:rPr>
              <w:t xml:space="preserve">96.13%</w:t>
            </w:r>
          </w:p>
        </w:tc>
      </w:tr>
      <w:tr>
        <w:tc>
          <w:tcPr>
            <w:tcW w:type="dxa" w:w="3600"/>
            <w:shd w:fill="F2F2F2" w:val="clear"/>
            <w:tcMar>
              <w:top w:type="dxa" w:w="80"/>
              <w:left w:type="dxa" w:w="100"/>
              <w:bottom w:type="dxa" w:w="80"/>
              <w:right w:type="dxa" w:w="100"/>
            </w:tcMar>
            <w:vAlign w:val="center"/>
          </w:tcPr>
          <w:p>
            <w:r>
              <w:rPr>
                <w:b w:val="false"/>
                <w:bCs w:val="false"/>
                <w:sz w:val="20"/>
                <w:szCs w:val="20"/>
              </w:rPr>
              <w:t xml:space="preserve">Artificial Neural Network</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95.86%</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72.79%</w:t>
            </w:r>
          </w:p>
        </w:tc>
        <w:tc>
          <w:tcPr>
            <w:tcW w:type="dxa" w:w="1220"/>
            <w:shd w:fill="F2F2F2" w:val="clear"/>
            <w:tcMar>
              <w:top w:type="dxa" w:w="80"/>
              <w:left w:type="dxa" w:w="100"/>
              <w:bottom w:type="dxa" w:w="80"/>
              <w:right w:type="dxa" w:w="100"/>
            </w:tcMar>
            <w:vAlign w:val="center"/>
          </w:tcPr>
          <w:p>
            <w:r>
              <w:rPr>
                <w:b w:val="false"/>
                <w:bCs w:val="false"/>
                <w:sz w:val="20"/>
                <w:szCs w:val="20"/>
              </w:rPr>
              <w:t xml:space="preserve">37.64%</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49.62%</w:t>
            </w:r>
          </w:p>
        </w:tc>
        <w:tc>
          <w:tcPr>
            <w:tcW w:type="dxa" w:w="1220"/>
            <w:shd w:fill="F2F2F2" w:val="clear"/>
            <w:tcMar>
              <w:top w:type="dxa" w:w="80"/>
              <w:left w:type="dxa" w:w="100"/>
              <w:bottom w:type="dxa" w:w="80"/>
              <w:right w:type="dxa" w:w="100"/>
            </w:tcMar>
            <w:vAlign w:val="center"/>
          </w:tcPr>
          <w:p>
            <w:r>
              <w:rPr>
                <w:b w:val="false"/>
                <w:bCs w:val="false"/>
                <w:sz w:val="20"/>
                <w:szCs w:val="20"/>
              </w:rPr>
              <w:t xml:space="preserve">95.18%</w:t>
            </w:r>
          </w:p>
        </w:tc>
      </w:tr>
      <w:tr>
        <w:tc>
          <w:tcPr>
            <w:tcW w:type="dxa" w:w="3600"/>
            <w:tcMar>
              <w:top w:type="dxa" w:w="80"/>
              <w:left w:type="dxa" w:w="100"/>
              <w:bottom w:type="dxa" w:w="80"/>
              <w:right w:type="dxa" w:w="100"/>
            </w:tcMar>
            <w:vAlign w:val="center"/>
          </w:tcPr>
          <w:p>
            <w:r>
              <w:rPr>
                <w:b w:val="false"/>
                <w:bCs w:val="false"/>
                <w:sz w:val="20"/>
                <w:szCs w:val="20"/>
              </w:rPr>
              <w:t xml:space="preserve">k-Nearest Neighbors</w:t>
            </w:r>
          </w:p>
        </w:tc>
        <w:tc>
          <w:tcPr>
            <w:tcW w:type="dxa" w:w="1420"/>
            <w:tcMar>
              <w:top w:type="dxa" w:w="80"/>
              <w:left w:type="dxa" w:w="100"/>
              <w:bottom w:type="dxa" w:w="80"/>
              <w:right w:type="dxa" w:w="100"/>
            </w:tcMar>
            <w:vAlign w:val="center"/>
          </w:tcPr>
          <w:p>
            <w:r>
              <w:rPr>
                <w:b w:val="false"/>
                <w:bCs w:val="false"/>
                <w:sz w:val="20"/>
                <w:szCs w:val="20"/>
              </w:rPr>
              <w:t xml:space="preserve">95.82%</w:t>
            </w:r>
          </w:p>
        </w:tc>
        <w:tc>
          <w:tcPr>
            <w:tcW w:type="dxa" w:w="1420"/>
            <w:tcMar>
              <w:top w:type="dxa" w:w="80"/>
              <w:left w:type="dxa" w:w="100"/>
              <w:bottom w:type="dxa" w:w="80"/>
              <w:right w:type="dxa" w:w="100"/>
            </w:tcMar>
            <w:vAlign w:val="center"/>
          </w:tcPr>
          <w:p>
            <w:r>
              <w:rPr>
                <w:b w:val="false"/>
                <w:bCs w:val="false"/>
                <w:sz w:val="20"/>
                <w:szCs w:val="20"/>
              </w:rPr>
              <w:t xml:space="preserve">78.30%</w:t>
            </w:r>
          </w:p>
        </w:tc>
        <w:tc>
          <w:tcPr>
            <w:tcW w:type="dxa" w:w="1220"/>
            <w:tcMar>
              <w:top w:type="dxa" w:w="80"/>
              <w:left w:type="dxa" w:w="100"/>
              <w:bottom w:type="dxa" w:w="80"/>
              <w:right w:type="dxa" w:w="100"/>
            </w:tcMar>
            <w:vAlign w:val="center"/>
          </w:tcPr>
          <w:p>
            <w:r>
              <w:rPr>
                <w:b w:val="false"/>
                <w:bCs w:val="false"/>
                <w:sz w:val="20"/>
                <w:szCs w:val="20"/>
              </w:rPr>
              <w:t xml:space="preserve">31.56%</w:t>
            </w:r>
          </w:p>
        </w:tc>
        <w:tc>
          <w:tcPr>
            <w:tcW w:type="dxa" w:w="1420"/>
            <w:tcMar>
              <w:top w:type="dxa" w:w="80"/>
              <w:left w:type="dxa" w:w="100"/>
              <w:bottom w:type="dxa" w:w="80"/>
              <w:right w:type="dxa" w:w="100"/>
            </w:tcMar>
            <w:vAlign w:val="center"/>
          </w:tcPr>
          <w:p>
            <w:r>
              <w:rPr>
                <w:b w:val="false"/>
                <w:bCs w:val="false"/>
                <w:sz w:val="20"/>
                <w:szCs w:val="20"/>
              </w:rPr>
              <w:t xml:space="preserve">44.99%</w:t>
            </w:r>
          </w:p>
        </w:tc>
        <w:tc>
          <w:tcPr>
            <w:tcW w:type="dxa" w:w="1220"/>
            <w:tcMar>
              <w:top w:type="dxa" w:w="80"/>
              <w:left w:type="dxa" w:w="100"/>
              <w:bottom w:type="dxa" w:w="80"/>
              <w:right w:type="dxa" w:w="100"/>
            </w:tcMar>
            <w:vAlign w:val="center"/>
          </w:tcPr>
          <w:p>
            <w:r>
              <w:rPr>
                <w:b w:val="false"/>
                <w:bCs w:val="false"/>
                <w:sz w:val="20"/>
                <w:szCs w:val="20"/>
              </w:rPr>
              <w:t xml:space="preserve">81.41%</w:t>
            </w:r>
          </w:p>
        </w:tc>
      </w:tr>
      <w:tr>
        <w:tc>
          <w:tcPr>
            <w:tcW w:type="dxa" w:w="3600"/>
            <w:shd w:fill="F2F2F2" w:val="clear"/>
            <w:tcMar>
              <w:top w:type="dxa" w:w="80"/>
              <w:left w:type="dxa" w:w="100"/>
              <w:bottom w:type="dxa" w:w="80"/>
              <w:right w:type="dxa" w:w="100"/>
            </w:tcMar>
            <w:vAlign w:val="center"/>
          </w:tcPr>
          <w:p>
            <w:r>
              <w:rPr>
                <w:b w:val="false"/>
                <w:bCs w:val="false"/>
                <w:sz w:val="20"/>
                <w:szCs w:val="20"/>
              </w:rPr>
              <w:t xml:space="preserve">Naive Bayes</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89.28%</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32.13%</w:t>
            </w:r>
          </w:p>
        </w:tc>
        <w:tc>
          <w:tcPr>
            <w:tcW w:type="dxa" w:w="1220"/>
            <w:shd w:fill="F2F2F2" w:val="clear"/>
            <w:tcMar>
              <w:top w:type="dxa" w:w="80"/>
              <w:left w:type="dxa" w:w="100"/>
              <w:bottom w:type="dxa" w:w="80"/>
              <w:right w:type="dxa" w:w="100"/>
            </w:tcMar>
            <w:vAlign w:val="center"/>
          </w:tcPr>
          <w:p>
            <w:r>
              <w:rPr>
                <w:b w:val="false"/>
                <w:bCs w:val="false"/>
                <w:sz w:val="20"/>
                <w:szCs w:val="20"/>
              </w:rPr>
              <w:t xml:space="preserve">88.21%</w:t>
            </w:r>
          </w:p>
        </w:tc>
        <w:tc>
          <w:tcPr>
            <w:tcW w:type="dxa" w:w="1420"/>
            <w:shd w:fill="F2F2F2" w:val="clear"/>
            <w:tcMar>
              <w:top w:type="dxa" w:w="80"/>
              <w:left w:type="dxa" w:w="100"/>
              <w:bottom w:type="dxa" w:w="80"/>
              <w:right w:type="dxa" w:w="100"/>
            </w:tcMar>
            <w:vAlign w:val="center"/>
          </w:tcPr>
          <w:p>
            <w:r>
              <w:rPr>
                <w:b w:val="false"/>
                <w:bCs w:val="false"/>
                <w:sz w:val="20"/>
                <w:szCs w:val="20"/>
              </w:rPr>
              <w:t xml:space="preserve">47.11%</w:t>
            </w:r>
          </w:p>
        </w:tc>
        <w:tc>
          <w:tcPr>
            <w:tcW w:type="dxa" w:w="1220"/>
            <w:shd w:fill="F2F2F2" w:val="clear"/>
            <w:tcMar>
              <w:top w:type="dxa" w:w="80"/>
              <w:left w:type="dxa" w:w="100"/>
              <w:bottom w:type="dxa" w:w="80"/>
              <w:right w:type="dxa" w:w="100"/>
            </w:tcMar>
            <w:vAlign w:val="center"/>
          </w:tcPr>
          <w:p>
            <w:r>
              <w:rPr>
                <w:b w:val="false"/>
                <w:bCs w:val="false"/>
                <w:sz w:val="20"/>
                <w:szCs w:val="20"/>
              </w:rPr>
              <w:t xml:space="preserve">95.08%</w:t>
            </w:r>
          </w:p>
        </w:tc>
      </w:tr>
    </w:tbl>
    <w:p>
      <w:pPr>
        <w:spacing w:after="160"/>
      </w:pPr>
    </w:p>
    <w:p>
      <w:pPr>
        <w:spacing w:after="160"/>
      </w:pPr>
      <w:r>
        <w:t xml:space="preserve">Logistic Regression was selected for deployment because it had the best overall Accuracy, F1-Score, and ROC-AUC among the four models, with no single weakness severe enough to disqualify it. Naive Bayes has a notably higher Recall (it catches more true Distressed cases), which is a legitimate alternative choice for a screening context where missing an at-risk student is costlier than a false alarm; this trade-off is discussed further in Section 8 (Limitations).</w:t>
      </w:r>
    </w:p>
    <w:p>
      <w:pPr>
        <w:spacing w:after="160"/>
      </w:pPr>
      <w:r>
        <w:t xml:space="preserve">The deployed model was re-trained for this phase using the group's finalized X_train / y_train files, and its test-set performance was verified to match the Phase 5 results exactly (Accuracy 96.03%, Precision 73.97%, Recall 41.06%, F1-Score 52.81%, ROC-AUC 96.13%), confirming the training pipeline is consistent with the group's earlier work.</w:t>
      </w:r>
    </w:p>
    <w:p>
      <w:pPr>
        <w:pStyle w:val="Heading1"/>
        <w:spacing w:after="160" w:before="320"/>
      </w:pPr>
      <w:r>
        <w:t xml:space="preserve">4. System Architecture</w:t>
      </w:r>
    </w:p>
    <w:p>
      <w:pPr>
        <w:spacing w:after="160"/>
      </w:pPr>
      <w:r>
        <w:t xml:space="preserve">The system follows a simple, linear pipeline:</w:t>
      </w:r>
    </w:p>
    <w:p>
      <w:pPr>
        <w:pStyle w:val="ListParagraph"/>
        <w:numPr>
          <w:ilvl w:val="0"/>
          <w:numId w:val="3"/>
        </w:numPr>
        <w:spacing w:after="60"/>
      </w:pPr>
      <w:r>
        <w:t xml:space="preserve">User fills the questionnaire in the Streamlit web interface (demographics + 28 questionnaire items).</w:t>
      </w:r>
    </w:p>
    <w:p>
      <w:pPr>
        <w:pStyle w:val="ListParagraph"/>
        <w:numPr>
          <w:ilvl w:val="0"/>
          <w:numId w:val="3"/>
        </w:numPr>
        <w:spacing w:after="60"/>
      </w:pPr>
      <w:r>
        <w:t xml:space="preserve">The app assembles the answers into the same 39-column feature vector used in Phase 3/4 (age, 7 GAD-7-style items, 7 ISI-style items, 14 PSS-style items, and one-hot encoded gender / education / smoking / drinking).</w:t>
      </w:r>
    </w:p>
    <w:p>
      <w:pPr>
        <w:pStyle w:val="ListParagraph"/>
        <w:numPr>
          <w:ilvl w:val="0"/>
          <w:numId w:val="3"/>
        </w:numPr>
        <w:spacing w:after="60"/>
      </w:pPr>
      <w:r>
        <w:t xml:space="preserve">The feature vector is scaled using the same StandardScaler fitted during training.</w:t>
      </w:r>
    </w:p>
    <w:p>
      <w:pPr>
        <w:pStyle w:val="ListParagraph"/>
        <w:numPr>
          <w:ilvl w:val="0"/>
          <w:numId w:val="3"/>
        </w:numPr>
        <w:spacing w:after="60"/>
      </w:pPr>
      <w:r>
        <w:t xml:space="preserve">The scaled vector is passed to the trained Logistic Regression model, which returns a class prediction (0 = Non-Distressed, 1 = Distressed) and a probability.</w:t>
      </w:r>
    </w:p>
    <w:p>
      <w:pPr>
        <w:pStyle w:val="ListParagraph"/>
        <w:numPr>
          <w:ilvl w:val="0"/>
          <w:numId w:val="3"/>
        </w:numPr>
        <w:spacing w:after="60"/>
      </w:pPr>
      <w:r>
        <w:t xml:space="preserve">The app displays the predicted risk category and the model's confidence, alongside the educational-use disclaimer.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7080"/>
            <w:shd w:fill="1F3864" w:val="clear"/>
            <w:tcMar>
              <w:top w:type="dxa" w:w="80"/>
              <w:left w:type="dxa" w:w="100"/>
              <w:bottom w:type="dxa" w:w="80"/>
              <w:right w:type="dxa" w:w="100"/>
            </w:tcMar>
            <w:vAlign w:val="center"/>
          </w:tcPr>
          <w:p>
            <w:r>
              <w:rPr>
                <w:b/>
                <w:bCs/>
                <w:color w:val="FFFFFF"/>
                <w:sz w:val="20"/>
                <w:szCs w:val="20"/>
              </w:rPr>
              <w:t xml:space="preserve">Technology</w:t>
            </w:r>
          </w:p>
        </w:tc>
      </w:tr>
      <w:tr>
        <w:tc>
          <w:tcPr>
            <w:tcW w:type="dxa" w:w="3000"/>
            <w:tcMar>
              <w:top w:type="dxa" w:w="80"/>
              <w:left w:type="dxa" w:w="100"/>
              <w:bottom w:type="dxa" w:w="80"/>
              <w:right w:type="dxa" w:w="100"/>
            </w:tcMar>
            <w:vAlign w:val="center"/>
          </w:tcPr>
          <w:p>
            <w:r>
              <w:rPr>
                <w:b w:val="false"/>
                <w:bCs w:val="false"/>
                <w:sz w:val="20"/>
                <w:szCs w:val="20"/>
              </w:rPr>
              <w:t xml:space="preserve">Frontend / UI</w:t>
            </w:r>
          </w:p>
        </w:tc>
        <w:tc>
          <w:tcPr>
            <w:tcW w:type="dxa" w:w="7080"/>
            <w:tcMar>
              <w:top w:type="dxa" w:w="80"/>
              <w:left w:type="dxa" w:w="100"/>
              <w:bottom w:type="dxa" w:w="80"/>
              <w:right w:type="dxa" w:w="100"/>
            </w:tcMar>
            <w:vAlign w:val="center"/>
          </w:tcPr>
          <w:p>
            <w:r>
              <w:rPr>
                <w:b w:val="false"/>
                <w:bCs w:val="false"/>
                <w:sz w:val="20"/>
                <w:szCs w:val="20"/>
              </w:rPr>
              <w:t xml:space="preserve">Streamlit</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Preprocessing</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Pandas, scikit-learn StandardScaler</w:t>
            </w:r>
          </w:p>
        </w:tc>
      </w:tr>
      <w:tr>
        <w:tc>
          <w:tcPr>
            <w:tcW w:type="dxa" w:w="3000"/>
            <w:tcMar>
              <w:top w:type="dxa" w:w="80"/>
              <w:left w:type="dxa" w:w="100"/>
              <w:bottom w:type="dxa" w:w="80"/>
              <w:right w:type="dxa" w:w="100"/>
            </w:tcMar>
            <w:vAlign w:val="center"/>
          </w:tcPr>
          <w:p>
            <w:r>
              <w:rPr>
                <w:b w:val="false"/>
                <w:bCs w:val="false"/>
                <w:sz w:val="20"/>
                <w:szCs w:val="20"/>
              </w:rPr>
              <w:t xml:space="preserve">Model</w:t>
            </w:r>
          </w:p>
        </w:tc>
        <w:tc>
          <w:tcPr>
            <w:tcW w:type="dxa" w:w="7080"/>
            <w:tcMar>
              <w:top w:type="dxa" w:w="80"/>
              <w:left w:type="dxa" w:w="100"/>
              <w:bottom w:type="dxa" w:w="80"/>
              <w:right w:type="dxa" w:w="100"/>
            </w:tcMar>
            <w:vAlign w:val="center"/>
          </w:tcPr>
          <w:p>
            <w:r>
              <w:rPr>
                <w:b w:val="false"/>
                <w:bCs w:val="false"/>
                <w:sz w:val="20"/>
                <w:szCs w:val="20"/>
              </w:rPr>
              <w:t xml:space="preserve">scikit-learn LogisticRegression (pickled with joblib)</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Language</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Python 3</w:t>
            </w:r>
          </w:p>
        </w:tc>
      </w:tr>
    </w:tbl>
    <w:p>
      <w:pPr>
        <w:pStyle w:val="Heading1"/>
        <w:spacing w:after="160" w:before="320"/>
      </w:pPr>
      <w:r>
        <w:t xml:space="preserve">5. Input Features</w:t>
      </w:r>
    </w:p>
    <w:p>
      <w:pPr>
        <w:spacing w:after="160"/>
      </w:pPr>
      <w:r>
        <w:t xml:space="preserve">The model consumes 39 features, matching the corrected, leakage-free feature set finalized in Phase 3 (built from demographics, GAD-7, ISI, and PSS — deliberately excluding the PHQ-9 items that were originally used to construct the label, to avoid the data leakage the group discovered and fixed during Phase 3/4):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2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5600"/>
            <w:shd w:fill="1F3864" w:val="clear"/>
            <w:tcMar>
              <w:top w:type="dxa" w:w="80"/>
              <w:left w:type="dxa" w:w="100"/>
              <w:bottom w:type="dxa" w:w="80"/>
              <w:right w:type="dxa" w:w="100"/>
            </w:tcMar>
            <w:vAlign w:val="center"/>
          </w:tcPr>
          <w:p>
            <w:r>
              <w:rPr>
                <w:b/>
                <w:bCs/>
                <w:color w:val="FFFFFF"/>
                <w:sz w:val="20"/>
                <w:szCs w:val="20"/>
              </w:rPr>
              <w:t xml:space="preserve">Features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Count</w:t>
            </w:r>
          </w:p>
        </w:tc>
      </w:tr>
      <w:tr>
        <w:tc>
          <w:tcPr>
            <w:tcW w:type="dxa" w:w="2600"/>
            <w:tcMar>
              <w:top w:type="dxa" w:w="80"/>
              <w:left w:type="dxa" w:w="100"/>
              <w:bottom w:type="dxa" w:w="80"/>
              <w:right w:type="dxa" w:w="100"/>
            </w:tcMar>
            <w:vAlign w:val="center"/>
          </w:tcPr>
          <w:p>
            <w:r>
              <w:rPr>
                <w:b w:val="false"/>
                <w:bCs w:val="false"/>
                <w:sz w:val="20"/>
                <w:szCs w:val="20"/>
              </w:rPr>
              <w:t xml:space="preserve">Demographics</w:t>
            </w:r>
          </w:p>
        </w:tc>
        <w:tc>
          <w:tcPr>
            <w:tcW w:type="dxa" w:w="5600"/>
            <w:tcMar>
              <w:top w:type="dxa" w:w="80"/>
              <w:left w:type="dxa" w:w="100"/>
              <w:bottom w:type="dxa" w:w="80"/>
              <w:right w:type="dxa" w:w="100"/>
            </w:tcMar>
            <w:vAlign w:val="center"/>
          </w:tcPr>
          <w:p>
            <w:r>
              <w:rPr>
                <w:b w:val="false"/>
                <w:bCs w:val="false"/>
                <w:sz w:val="20"/>
                <w:szCs w:val="20"/>
              </w:rPr>
              <w:t xml:space="preserve">age, gender, education level, smoking habit, drinking habit (one-hot encoded)</w:t>
            </w:r>
          </w:p>
        </w:tc>
        <w:tc>
          <w:tcPr>
            <w:tcW w:type="dxa" w:w="1200"/>
            <w:tcMar>
              <w:top w:type="dxa" w:w="80"/>
              <w:left w:type="dxa" w:w="100"/>
              <w:bottom w:type="dxa" w:w="80"/>
              <w:right w:type="dxa" w:w="100"/>
            </w:tcMar>
            <w:vAlign w:val="center"/>
          </w:tcPr>
          <w:p>
            <w:r>
              <w:rPr>
                <w:b w:val="false"/>
                <w:bCs w:val="false"/>
                <w:sz w:val="20"/>
                <w:szCs w:val="20"/>
              </w:rPr>
              <w:t xml:space="preserve">10</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Anxiety (GAD-7 style)</w:t>
            </w:r>
          </w:p>
        </w:tc>
        <w:tc>
          <w:tcPr>
            <w:tcW w:type="dxa" w:w="5600"/>
            <w:shd w:fill="F2F2F2" w:val="clear"/>
            <w:tcMar>
              <w:top w:type="dxa" w:w="80"/>
              <w:left w:type="dxa" w:w="100"/>
              <w:bottom w:type="dxa" w:w="80"/>
              <w:right w:type="dxa" w:w="100"/>
            </w:tcMar>
            <w:vAlign w:val="center"/>
          </w:tcPr>
          <w:p>
            <w:r>
              <w:rPr>
                <w:b w:val="false"/>
                <w:bCs w:val="false"/>
                <w:sz w:val="20"/>
                <w:szCs w:val="20"/>
              </w:rPr>
              <w:t xml:space="preserve">gad7_q1 – gad7_q7, each scored 0–3</w:t>
            </w:r>
          </w:p>
        </w:tc>
        <w:tc>
          <w:tcPr>
            <w:tcW w:type="dxa" w:w="1200"/>
            <w:shd w:fill="F2F2F2" w:val="clear"/>
            <w:tcMar>
              <w:top w:type="dxa" w:w="80"/>
              <w:left w:type="dxa" w:w="100"/>
              <w:bottom w:type="dxa" w:w="80"/>
              <w:right w:type="dxa" w:w="100"/>
            </w:tcMar>
            <w:vAlign w:val="center"/>
          </w:tcPr>
          <w:p>
            <w:r>
              <w:rPr>
                <w:b w:val="false"/>
                <w:bCs w:val="false"/>
                <w:sz w:val="20"/>
                <w:szCs w:val="20"/>
              </w:rPr>
              <w:t xml:space="preserve">7</w:t>
            </w:r>
          </w:p>
        </w:tc>
      </w:tr>
      <w:tr>
        <w:tc>
          <w:tcPr>
            <w:tcW w:type="dxa" w:w="2600"/>
            <w:tcMar>
              <w:top w:type="dxa" w:w="80"/>
              <w:left w:type="dxa" w:w="100"/>
              <w:bottom w:type="dxa" w:w="80"/>
              <w:right w:type="dxa" w:w="100"/>
            </w:tcMar>
            <w:vAlign w:val="center"/>
          </w:tcPr>
          <w:p>
            <w:r>
              <w:rPr>
                <w:b w:val="false"/>
                <w:bCs w:val="false"/>
                <w:sz w:val="20"/>
                <w:szCs w:val="20"/>
              </w:rPr>
              <w:t xml:space="preserve">Insomnia (ISI style)</w:t>
            </w:r>
          </w:p>
        </w:tc>
        <w:tc>
          <w:tcPr>
            <w:tcW w:type="dxa" w:w="5600"/>
            <w:tcMar>
              <w:top w:type="dxa" w:w="80"/>
              <w:left w:type="dxa" w:w="100"/>
              <w:bottom w:type="dxa" w:w="80"/>
              <w:right w:type="dxa" w:w="100"/>
            </w:tcMar>
            <w:vAlign w:val="center"/>
          </w:tcPr>
          <w:p>
            <w:r>
              <w:rPr>
                <w:b w:val="false"/>
                <w:bCs w:val="false"/>
                <w:sz w:val="20"/>
                <w:szCs w:val="20"/>
              </w:rPr>
              <w:t xml:space="preserve">isi_q1 – isi_q7, each scored 0–4</w:t>
            </w:r>
          </w:p>
        </w:tc>
        <w:tc>
          <w:tcPr>
            <w:tcW w:type="dxa" w:w="1200"/>
            <w:tcMar>
              <w:top w:type="dxa" w:w="80"/>
              <w:left w:type="dxa" w:w="100"/>
              <w:bottom w:type="dxa" w:w="80"/>
              <w:right w:type="dxa" w:w="100"/>
            </w:tcMar>
            <w:vAlign w:val="center"/>
          </w:tcPr>
          <w:p>
            <w:r>
              <w:rPr>
                <w:b w:val="false"/>
                <w:bCs w:val="false"/>
                <w:sz w:val="20"/>
                <w:szCs w:val="20"/>
              </w:rPr>
              <w:t xml:space="preserve">7</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Perceived Stress (PSS style)</w:t>
            </w:r>
          </w:p>
        </w:tc>
        <w:tc>
          <w:tcPr>
            <w:tcW w:type="dxa" w:w="5600"/>
            <w:shd w:fill="F2F2F2" w:val="clear"/>
            <w:tcMar>
              <w:top w:type="dxa" w:w="80"/>
              <w:left w:type="dxa" w:w="100"/>
              <w:bottom w:type="dxa" w:w="80"/>
              <w:right w:type="dxa" w:w="100"/>
            </w:tcMar>
            <w:vAlign w:val="center"/>
          </w:tcPr>
          <w:p>
            <w:r>
              <w:rPr>
                <w:b w:val="false"/>
                <w:bCs w:val="false"/>
                <w:sz w:val="20"/>
                <w:szCs w:val="20"/>
              </w:rPr>
              <w:t xml:space="preserve">pss_q1 – pss_q14, each scored 1–5</w:t>
            </w:r>
          </w:p>
        </w:tc>
        <w:tc>
          <w:tcPr>
            <w:tcW w:type="dxa" w:w="1200"/>
            <w:shd w:fill="F2F2F2" w:val="clear"/>
            <w:tcMar>
              <w:top w:type="dxa" w:w="80"/>
              <w:left w:type="dxa" w:w="100"/>
              <w:bottom w:type="dxa" w:w="80"/>
              <w:right w:type="dxa" w:w="100"/>
            </w:tcMar>
            <w:vAlign w:val="center"/>
          </w:tcPr>
          <w:p>
            <w:r>
              <w:rPr>
                <w:b w:val="false"/>
                <w:bCs w:val="false"/>
                <w:sz w:val="20"/>
                <w:szCs w:val="20"/>
              </w:rPr>
              <w:t xml:space="preserve">14</w:t>
            </w:r>
          </w:p>
        </w:tc>
      </w:tr>
    </w:tbl>
    <w:p>
      <w:pPr>
        <w:spacing w:after="160"/>
      </w:pPr>
    </w:p>
    <w:p>
      <w:pPr>
        <w:spacing w:after="160"/>
      </w:pPr>
      <w:r>
        <w:t xml:space="preserve">Note: the questionnaire wording used in the app is a paraphrased, simplified version inspired by the constructs each standardized instrument (GAD-7, ISI, PSS) measures. It is not a reproduction of the officially licensed instruments, which is appropriate for an educational prototype like this one.</w:t>
      </w:r>
    </w:p>
    <w:p>
      <w:pPr>
        <w:pStyle w:val="Heading1"/>
        <w:spacing w:after="160" w:before="320"/>
      </w:pPr>
      <w:r>
        <w:t xml:space="preserve">6. Implementation Details</w:t>
      </w:r>
    </w:p>
    <w:p>
      <w:pPr>
        <w:pStyle w:val="Heading2"/>
        <w:spacing w:after="120" w:before="240"/>
      </w:pPr>
      <w:r>
        <w:t xml:space="preserve">6.1 Model Training (train_model.py)</w:t>
      </w:r>
    </w:p>
    <w:p>
      <w:pPr>
        <w:spacing w:after="160"/>
      </w:pPr>
      <w:r>
        <w:t xml:space="preserve">The training script loads the group's finalized X_train.csv, X_test.csv, y_train.csv, and y_test.csv (produced in Phase 3/4 by Zainib's train-test split), fits a StandardScaler on the training features, trains a LogisticRegression(max_iter=2000, random_state=42) on the scaled data, evaluates it on the held-out test set, and saves three artifacts:</w:t>
      </w:r>
    </w:p>
    <w:p>
      <w:pPr>
        <w:pStyle w:val="ListParagraph"/>
        <w:numPr>
          <w:ilvl w:val="0"/>
          <w:numId w:val="2"/>
        </w:numPr>
        <w:spacing w:after="60"/>
      </w:pPr>
      <w:r>
        <w:t xml:space="preserve">logreg_model.joblib — the trained model</w:t>
      </w:r>
    </w:p>
    <w:p>
      <w:pPr>
        <w:pStyle w:val="ListParagraph"/>
        <w:numPr>
          <w:ilvl w:val="0"/>
          <w:numId w:val="2"/>
        </w:numPr>
        <w:spacing w:after="60"/>
      </w:pPr>
      <w:r>
        <w:t xml:space="preserve">scaler.joblib — the fitted StandardScaler</w:t>
      </w:r>
    </w:p>
    <w:p>
      <w:pPr>
        <w:pStyle w:val="ListParagraph"/>
        <w:numPr>
          <w:ilvl w:val="0"/>
          <w:numId w:val="2"/>
        </w:numPr>
        <w:spacing w:after="60"/>
      </w:pPr>
      <w:r>
        <w:t xml:space="preserve">feature_columns.json — the exact 39-column order the model expects</w:t>
      </w:r>
    </w:p>
    <w:p>
      <w:pPr>
        <w:pStyle w:val="Heading2"/>
        <w:spacing w:after="120" w:before="240"/>
      </w:pPr>
      <w:r>
        <w:t xml:space="preserve">6.2 Web Application (app.py)</w:t>
      </w:r>
    </w:p>
    <w:p>
      <w:pPr>
        <w:spacing w:after="160"/>
      </w:pPr>
      <w:r>
        <w:t xml:space="preserve">The Streamlit app loads the three artifacts above (cached so they load once per session), renders the questionnaire form, and on submission:</w:t>
      </w:r>
    </w:p>
    <w:p>
      <w:pPr>
        <w:pStyle w:val="ListParagraph"/>
        <w:numPr>
          <w:ilvl w:val="0"/>
          <w:numId w:val="2"/>
        </w:numPr>
        <w:spacing w:after="60"/>
      </w:pPr>
      <w:r>
        <w:t xml:space="preserve">Initializes all 39 feature columns to 0 / False.</w:t>
      </w:r>
    </w:p>
    <w:p>
      <w:pPr>
        <w:pStyle w:val="ListParagraph"/>
        <w:numPr>
          <w:ilvl w:val="0"/>
          <w:numId w:val="2"/>
        </w:numPr>
        <w:spacing w:after="60"/>
      </w:pPr>
      <w:r>
        <w:t xml:space="preserve">Fills in age and the 28 questionnaire answers directly from the form.</w:t>
      </w:r>
    </w:p>
    <w:p>
      <w:pPr>
        <w:pStyle w:val="ListParagraph"/>
        <w:numPr>
          <w:ilvl w:val="0"/>
          <w:numId w:val="2"/>
        </w:numPr>
        <w:spacing w:after="60"/>
      </w:pPr>
      <w:r>
        <w:t xml:space="preserve">Sets the correct one-hot flag for gender, education, smoking, and drinking, leaving the baseline category (female / associate degree / current smoker / current regular drinker) as all-zero, exactly mirroring how the training data was one-hot encoded with drop_first=True.</w:t>
      </w:r>
    </w:p>
    <w:p>
      <w:pPr>
        <w:pStyle w:val="ListParagraph"/>
        <w:numPr>
          <w:ilvl w:val="0"/>
          <w:numId w:val="2"/>
        </w:numPr>
        <w:spacing w:after="60"/>
      </w:pPr>
      <w:r>
        <w:t xml:space="preserve">Reorders the resulting row to match feature_columns.json exactly, scales it, and calls model.predict_proba().</w:t>
      </w:r>
    </w:p>
    <w:p>
      <w:pPr>
        <w:pStyle w:val="ListParagraph"/>
        <w:numPr>
          <w:ilvl w:val="0"/>
          <w:numId w:val="2"/>
        </w:numPr>
        <w:spacing w:after="60"/>
      </w:pPr>
      <w:r>
        <w:t xml:space="preserve">Displays the predicted class, the confidence score, and a progress bar visualizing the probability.</w:t>
      </w:r>
    </w:p>
    <w:p>
      <w:pPr>
        <w:pStyle w:val="Heading2"/>
        <w:spacing w:after="120" w:before="240"/>
      </w:pPr>
      <w:r>
        <w:t xml:space="preserve">6.3 Running the App</w:t>
      </w:r>
    </w:p>
    <w:p>
      <w:pPr>
        <w:spacing w:after="160"/>
      </w:pPr>
      <w:r>
        <w:t xml:space="preserve">Requirements: Python 3.9+, and the packages in requirements.txt (streamlit, scikit-learn, joblib, pandas, numpy).</w:t>
      </w:r>
    </w:p>
    <w:p>
      <w:pPr>
        <w:shd w:fill="F2F2F2" w:val="clear"/>
        <w:spacing w:after="60"/>
      </w:pPr>
      <w:r>
        <w:rPr>
          <w:rFonts w:ascii="Consolas" w:cs="Consolas" w:eastAsia="Consolas" w:hAnsi="Consolas"/>
          <w:sz w:val="20"/>
          <w:szCs w:val="20"/>
        </w:rPr>
        <w:t xml:space="preserve">pip install -r requirements.txt</w:t>
      </w:r>
    </w:p>
    <w:p>
      <w:pPr>
        <w:shd w:fill="F2F2F2" w:val="clear"/>
        <w:spacing w:after="160"/>
      </w:pPr>
      <w:r>
        <w:rPr>
          <w:rFonts w:ascii="Consolas" w:cs="Consolas" w:eastAsia="Consolas" w:hAnsi="Consolas"/>
          <w:sz w:val="20"/>
          <w:szCs w:val="20"/>
        </w:rPr>
        <w:t xml:space="preserve">streamlit run app.py</w:t>
      </w:r>
    </w:p>
    <w:p>
      <w:pPr>
        <w:spacing w:after="160"/>
      </w:pPr>
      <w:r>
        <w:t xml:space="preserve">This starts a local web server and opens the app in the browser at http://localhost:8501.</w:t>
      </w:r>
    </w:p>
    <w:p>
      <w:pPr>
        <w:pStyle w:val="Heading1"/>
        <w:spacing w:after="160" w:before="320"/>
      </w:pPr>
      <w:r>
        <w:t xml:space="preserve">7. Testing &amp; Verification</w:t>
      </w:r>
    </w:p>
    <w:p>
      <w:pPr>
        <w:spacing w:after="160"/>
      </w:pPr>
      <w:r>
        <w:t xml:space="preserve">The app was verified in two ways:</w:t>
      </w:r>
    </w:p>
    <w:p>
      <w:pPr>
        <w:pStyle w:val="Heading2"/>
        <w:spacing w:after="120" w:before="240"/>
      </w:pPr>
      <w:r>
        <w:t xml:space="preserve">7.1 Pipeline verification</w:t>
      </w:r>
    </w:p>
    <w:p>
      <w:pPr>
        <w:spacing w:after="160"/>
      </w:pPr>
      <w:r>
        <w:t xml:space="preserve">The retrained model's test-set metrics were compared against the Phase 5 report and matched exactly (Accuracy 96.03%, Precision 73.97%, Recall 41.06%, F1-Score 52.81%, ROC-AUC 96.13%), confirming the training script correctly reproduces the group's earlier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
            </w:r>
          </w:p>
        </w:tc>
        <w:tc>
          <w:tcPr>
            <w:tcW w:type="dxa" w:w="3200"/>
            <w:shd w:fill="1F3864" w:val="clear"/>
            <w:tcMar>
              <w:top w:type="dxa" w:w="80"/>
              <w:left w:type="dxa" w:w="100"/>
              <w:bottom w:type="dxa" w:w="80"/>
              <w:right w:type="dxa" w:w="100"/>
            </w:tcMar>
            <w:vAlign w:val="center"/>
          </w:tcPr>
          <w:p>
            <w:r>
              <w:rPr>
                <w:b/>
                <w:bCs/>
                <w:color w:val="FFFFFF"/>
                <w:sz w:val="20"/>
                <w:szCs w:val="20"/>
              </w:rPr>
              <w:t xml:space="preserve">Predicted Non-Distressed</w:t>
            </w:r>
          </w:p>
        </w:tc>
        <w:tc>
          <w:tcPr>
            <w:tcW w:type="dxa" w:w="3680"/>
            <w:shd w:fill="1F3864" w:val="clear"/>
            <w:tcMar>
              <w:top w:type="dxa" w:w="80"/>
              <w:left w:type="dxa" w:w="100"/>
              <w:bottom w:type="dxa" w:w="80"/>
              <w:right w:type="dxa" w:w="100"/>
            </w:tcMar>
            <w:vAlign w:val="center"/>
          </w:tcPr>
          <w:p>
            <w:r>
              <w:rPr>
                <w:b/>
                <w:bCs/>
                <w:color w:val="FFFFFF"/>
                <w:sz w:val="20"/>
                <w:szCs w:val="20"/>
              </w:rPr>
              <w:t xml:space="preserve">Predicted Distressed</w:t>
            </w:r>
          </w:p>
        </w:tc>
      </w:tr>
      <w:tr>
        <w:tc>
          <w:tcPr>
            <w:tcW w:type="dxa" w:w="3200"/>
            <w:tcMar>
              <w:top w:type="dxa" w:w="80"/>
              <w:left w:type="dxa" w:w="100"/>
              <w:bottom w:type="dxa" w:w="80"/>
              <w:right w:type="dxa" w:w="100"/>
            </w:tcMar>
            <w:vAlign w:val="center"/>
          </w:tcPr>
          <w:p>
            <w:r>
              <w:rPr>
                <w:b w:val="false"/>
                <w:bCs w:val="false"/>
                <w:sz w:val="20"/>
                <w:szCs w:val="20"/>
              </w:rPr>
              <w:t xml:space="preserve">Actual Non-Distressed</w:t>
            </w:r>
          </w:p>
        </w:tc>
        <w:tc>
          <w:tcPr>
            <w:tcW w:type="dxa" w:w="3200"/>
            <w:tcMar>
              <w:top w:type="dxa" w:w="80"/>
              <w:left w:type="dxa" w:w="100"/>
              <w:bottom w:type="dxa" w:w="80"/>
              <w:right w:type="dxa" w:w="100"/>
            </w:tcMar>
            <w:vAlign w:val="center"/>
          </w:tcPr>
          <w:p>
            <w:r>
              <w:rPr>
                <w:b w:val="false"/>
                <w:bCs w:val="false"/>
                <w:sz w:val="20"/>
                <w:szCs w:val="20"/>
              </w:rPr>
              <w:t xml:space="preserve">4,558</w:t>
            </w:r>
          </w:p>
        </w:tc>
        <w:tc>
          <w:tcPr>
            <w:tcW w:type="dxa" w:w="3680"/>
            <w:tcMar>
              <w:top w:type="dxa" w:w="80"/>
              <w:left w:type="dxa" w:w="100"/>
              <w:bottom w:type="dxa" w:w="80"/>
              <w:right w:type="dxa" w:w="100"/>
            </w:tcMar>
            <w:vAlign w:val="center"/>
          </w:tcPr>
          <w:p>
            <w:r>
              <w:rPr>
                <w:b w:val="false"/>
                <w:bCs w:val="false"/>
                <w:sz w:val="20"/>
                <w:szCs w:val="20"/>
              </w:rPr>
              <w:t xml:space="preserve">38</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Actual Distressed</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155</w:t>
            </w:r>
          </w:p>
        </w:tc>
        <w:tc>
          <w:tcPr>
            <w:tcW w:type="dxa" w:w="3680"/>
            <w:shd w:fill="F2F2F2" w:val="clear"/>
            <w:tcMar>
              <w:top w:type="dxa" w:w="80"/>
              <w:left w:type="dxa" w:w="100"/>
              <w:bottom w:type="dxa" w:w="80"/>
              <w:right w:type="dxa" w:w="100"/>
            </w:tcMar>
            <w:vAlign w:val="center"/>
          </w:tcPr>
          <w:p>
            <w:r>
              <w:rPr>
                <w:b w:val="false"/>
                <w:bCs w:val="false"/>
                <w:sz w:val="20"/>
                <w:szCs w:val="20"/>
              </w:rPr>
              <w:t xml:space="preserve">108</w:t>
            </w:r>
          </w:p>
        </w:tc>
      </w:tr>
    </w:tbl>
    <w:p>
      <w:pPr>
        <w:spacing w:after="160"/>
      </w:pPr>
    </w:p>
    <w:p>
      <w:pPr>
        <w:pStyle w:val="Heading2"/>
        <w:spacing w:after="120" w:before="240"/>
      </w:pPr>
      <w:r>
        <w:t xml:space="preserve">7.2 Sanity-check predictions</w:t>
      </w:r>
    </w:p>
    <w:p>
      <w:pPr>
        <w:spacing w:after="160"/>
      </w:pPr>
      <w:r>
        <w:t xml:space="preserve">Two synthetic profiles were passed through the full app pipeline to confirm the model behaves sensibly at the extremes:</w:t>
      </w:r>
    </w:p>
    <w:p>
      <w:pPr>
        <w:pStyle w:val="ListParagraph"/>
        <w:numPr>
          <w:ilvl w:val="0"/>
          <w:numId w:val="2"/>
        </w:numPr>
        <w:spacing w:after="60"/>
      </w:pPr>
      <w:r>
        <w:t xml:space="preserve">A low-stress profile (all anxiety/sleep items at minimum, all stress items at the lowest frequency) was correctly predicted Non-Distressed with 99.99% confidence.</w:t>
      </w:r>
    </w:p>
    <w:p>
      <w:pPr>
        <w:pStyle w:val="ListParagraph"/>
        <w:numPr>
          <w:ilvl w:val="0"/>
          <w:numId w:val="2"/>
        </w:numPr>
        <w:spacing w:after="60"/>
      </w:pPr>
      <w:r>
        <w:t xml:space="preserve">A high-stress profile (all anxiety/sleep/stress items at maximum severity/frequency) was correctly predicted Distressed with 99.99% confidence.</w:t>
      </w:r>
    </w:p>
    <w:p>
      <w:pPr>
        <w:pStyle w:val="Heading1"/>
        <w:spacing w:after="160" w:before="320"/>
      </w:pPr>
      <w:r>
        <w:t xml:space="preserve">8. Limitations &amp; Ethical Considerations</w:t>
      </w:r>
    </w:p>
    <w:p>
      <w:pPr>
        <w:pStyle w:val="ListParagraph"/>
        <w:numPr>
          <w:ilvl w:val="0"/>
          <w:numId w:val="2"/>
        </w:numPr>
        <w:spacing w:after="60"/>
      </w:pPr>
      <w:r>
        <w:t xml:space="preserve">Educational tool only: the app includes a prominent disclaimer and must not be used for clinical diagnosis, as also stated in the project proposal's Scope section.</w:t>
      </w:r>
    </w:p>
    <w:p>
      <w:pPr>
        <w:pStyle w:val="ListParagraph"/>
        <w:numPr>
          <w:ilvl w:val="0"/>
          <w:numId w:val="2"/>
        </w:numPr>
        <w:spacing w:after="60"/>
      </w:pPr>
      <w:r>
        <w:t xml:space="preserve">Class imbalance: the training data is about 94.6% Non-Distressed vs. 5.4% Distressed, which limits Recall (41.06%) — the model misses a meaningful share of true Distressed cases. This is a known, documented trade-off inherited from Phase 5, not a bug in the deployed system.</w:t>
      </w:r>
    </w:p>
    <w:p>
      <w:pPr>
        <w:pStyle w:val="ListParagraph"/>
        <w:numPr>
          <w:ilvl w:val="0"/>
          <w:numId w:val="2"/>
        </w:numPr>
        <w:spacing w:after="60"/>
      </w:pPr>
      <w:r>
        <w:t xml:space="preserve">Simplified questionnaire wording: item text is paraphrased rather than the exact licensed instruments, so scores are not directly comparable to official clinical assessments.</w:t>
      </w:r>
    </w:p>
    <w:p>
      <w:pPr>
        <w:pStyle w:val="ListParagraph"/>
        <w:numPr>
          <w:ilvl w:val="0"/>
          <w:numId w:val="2"/>
        </w:numPr>
        <w:spacing w:after="60"/>
      </w:pPr>
      <w:r>
        <w:t xml:space="preserve">No persistence or authentication: the app does not store user responses; each session is independent, which is appropriate for a screening prototype but would need to change for any real deployment.</w:t>
      </w:r>
    </w:p>
    <w:p>
      <w:pPr>
        <w:pStyle w:val="Heading1"/>
        <w:spacing w:after="160" w:before="320"/>
      </w:pPr>
      <w:r>
        <w:t xml:space="preserve">9. Future Work</w:t>
      </w:r>
    </w:p>
    <w:p>
      <w:pPr>
        <w:pStyle w:val="ListParagraph"/>
        <w:numPr>
          <w:ilvl w:val="0"/>
          <w:numId w:val="2"/>
        </w:numPr>
        <w:spacing w:after="60"/>
      </w:pPr>
      <w:r>
        <w:t xml:space="preserve">Apply threshold tuning or class-weighting (as suggested in the Phase 5 report) to improve Recall for a screening context where catching at-risk students matters more than avoiding false alarms.</w:t>
      </w:r>
    </w:p>
    <w:p>
      <w:pPr>
        <w:pStyle w:val="ListParagraph"/>
        <w:numPr>
          <w:ilvl w:val="0"/>
          <w:numId w:val="2"/>
        </w:numPr>
        <w:spacing w:after="60"/>
      </w:pPr>
      <w:r>
        <w:t xml:space="preserve">Offer Naive Bayes as an alternate, higher-Recall model the user can switch to.</w:t>
      </w:r>
    </w:p>
    <w:p>
      <w:pPr>
        <w:pStyle w:val="ListParagraph"/>
        <w:numPr>
          <w:ilvl w:val="0"/>
          <w:numId w:val="2"/>
        </w:numPr>
        <w:spacing w:after="60"/>
      </w:pPr>
      <w:r>
        <w:t xml:space="preserve">Add basic input validation and accessibility improvements to the form.</w:t>
      </w:r>
    </w:p>
    <w:p>
      <w:pPr>
        <w:pStyle w:val="ListParagraph"/>
        <w:numPr>
          <w:ilvl w:val="0"/>
          <w:numId w:val="2"/>
        </w:numPr>
        <w:spacing w:after="60"/>
      </w:pPr>
      <w:r>
        <w:t xml:space="preserve">Deploy the app to a public host (e.g. Streamlit Community Cloud) for easier access.</w:t>
      </w:r>
    </w:p>
    <w:p>
      <w:pPr>
        <w:pStyle w:val="Heading1"/>
        <w:spacing w:after="160" w:before="320"/>
      </w:pPr>
      <w:r>
        <w:t xml:space="preserve">10. Conclusion</w:t>
      </w:r>
    </w:p>
    <w:p>
      <w:pPr>
        <w:spacing w:after="160"/>
      </w:pPr>
      <w:r>
        <w:t xml:space="preserve">Phase 6 completes the project by turning the group's comparative model analysis into a working, documented system. The Logistic Regression model, chosen for its strongest overall performance in Phase 5, was re-trained, verified to reproduce the reported metrics exactly, and wrapped in a Streamlit interface that mirrors the group's Phase 3 preprocessing pipeline step for step. The result is a self-contained, runnable screening prototype consistent with the project proposal's scope: questionnaire-based, machine-learning-driven, and explicitly framed as an educational tool rather than a diagnostic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2026-07-16T05:16:06.350Z</dcterms:created>
  <dcterms:modified xsi:type="dcterms:W3CDTF">2026-07-16T05:16:06.360Z</dcterms:modified>
</cp:coreProperties>
</file>

<file path=docProps/custom.xml><?xml version="1.0" encoding="utf-8"?>
<Properties xmlns="http://schemas.openxmlformats.org/officeDocument/2006/custom-properties" xmlns:vt="http://schemas.openxmlformats.org/officeDocument/2006/docPropsVTypes"/>
</file>