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Phase 4 Report — Logistic Regression</w:t>
      </w:r>
    </w:p>
    <w:p>
      <w:pPr>
        <w:spacing w:after="80"/>
      </w:pPr>
      <w:r>
        <w:rPr>
          <w:i/>
          <w:iCs/>
          <w:sz w:val="24"/>
          <w:szCs w:val="24"/>
        </w:rPr>
        <w:t xml:space="preserve">Machine Learning-Based Student Mental Health Assessment System</w:t>
      </w:r>
    </w:p>
    <w:p>
      <w:pPr>
        <w:spacing w:after="240"/>
      </w:pPr>
      <w:r>
        <w:rPr>
          <w:sz w:val="22"/>
          <w:szCs w:val="22"/>
        </w:rPr>
        <w:t xml:space="preserve">Prepared by: Tayyaba Arshad</w:t>
      </w:r>
    </w:p>
    <w:p>
      <w:pPr>
        <w:pStyle w:val="Heading1"/>
        <w:spacing w:after="120" w:before="240"/>
      </w:pPr>
      <w:r>
        <w:t xml:space="preserve">1. What Was Implemented</w:t>
      </w:r>
    </w:p>
    <w:p>
      <w:pPr>
        <w:spacing w:after="160"/>
      </w:pPr>
      <w:r>
        <w:t xml:space="preserve">This report covers the implementation and evaluation of a Logistic Regression model for the binary classification of student mental distress. The model was trained and tested using the finalized cleaned dataset and the official 80:20 train-test split prepared during Phase 3 (Data Preprocessing) and Phase 3.2 (Dataset Preparation). No additional preprocessing, feature engineering, scaling, or re-splitting was performed, in line with the group's requirement that all models use identical data for a fair comparison.</w:t>
      </w:r>
    </w:p>
    <w:p>
      <w:pPr>
        <w:spacing w:after="160"/>
      </w:pPr>
      <w:r>
        <w:t xml:space="preserve">The dataset consists of 39 input features covering four groups: a single numeric age field; the 7 items of the GAD-7 anxiety screening scale (gad7_q1–gad7_q7); the 7 items of the Insomnia Severity Index (isi_q1–isi_q7); the 14 items of the Perceived Stress Scale (pss_q1–pss_q14); and one-hot encoded demographic/lifestyle indicators for gender, education level, smoking status, and drinking status. The target variable, "Distressed," is a binary label produced during preprocessing and is not a simple deterministic sum of these input features.</w:t>
      </w:r>
    </w:p>
    <w:p>
      <w:pPr>
        <w:spacing w:after="160"/>
      </w:pPr>
      <w:r>
        <w:t xml:space="preserve">The model was built using scikit-learn's LogisticRegression class with random_state=42 for reproducibility, and max_iter increased to 1000 so the solver had sufficient iterations to converge on this larger, higher-dimensional feature set. It was trained on 19,433 samples and evaluated on 4,859 held-out samples.</w:t>
      </w:r>
    </w:p>
    <w:p>
      <w:pPr>
        <w:pStyle w:val="Heading1"/>
        <w:spacing w:after="120" w:before="240"/>
      </w:pPr>
      <w:r>
        <w:t xml:space="preserve">2. How Logistic Regression Works (In Simple Words)</w:t>
      </w:r>
    </w:p>
    <w:p>
      <w:pPr>
        <w:spacing w:after="160"/>
      </w:pPr>
      <w:r>
        <w:t xml:space="preserve">Logistic Regression predicts the probability that a student belongs to the "Distressed" class. It calculates a weighted sum of the 39 input features (age, anxiety, insomnia, stress, and demographic/lifestyle indicators), where the model learns during training how much weight (importance) to give to each feature. This weighted sum is then passed through a sigmoid function, which converts it into a probability between 0 and 1.</w:t>
      </w:r>
    </w:p>
    <w:p>
      <w:pPr>
        <w:spacing w:after="160"/>
      </w:pPr>
      <w:r>
        <w:t xml:space="preserve">If the predicted probability is greater than 0.5, the student is classified as Distressed; otherwise, as Non-Distressed. Because the true label depends on a combination of several underlying psychological scales rather than on a single linear rule over the model's inputs, the relationship is more complex than a simple threshold, and the model is not expected to fit it perfectly.</w:t>
      </w:r>
    </w:p>
    <w:p>
      <w:pPr>
        <w:pStyle w:val="Heading1"/>
        <w:spacing w:after="120" w:before="240"/>
      </w:pPr>
      <w:r>
        <w:t xml:space="preserve">3. Results Obtained</w:t>
      </w:r>
    </w:p>
    <w:p>
      <w:pPr>
        <w:spacing w:after="160"/>
      </w:pPr>
      <w:r>
        <w:t xml:space="preserve">The model was evaluated on the test set using the standard classification metrics agreed upon by the group. All metrics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Mar>
              <w:top w:type="dxa" w:w="80"/>
              <w:left w:type="dxa" w:w="120"/>
              <w:bottom w:type="dxa" w:w="80"/>
              <w:right w:type="dxa" w:w="120"/>
            </w:tcMar>
          </w:tcPr>
          <w:p>
            <w:pPr>
              <w:jc w:val="left"/>
            </w:pPr>
            <w:r>
              <w:rPr>
                <w:b/>
                <w:bCs/>
              </w:rPr>
              <w:t xml:space="preserve">Metric</w:t>
            </w:r>
          </w:p>
        </w:tc>
        <w:tc>
          <w:tcPr>
            <w:tcW w:type="dxa" w:w="4680"/>
            <w:shd w:fill="D9E2F3" w:color="auto" w:val="clear"/>
            <w:tcMar>
              <w:top w:type="dxa" w:w="80"/>
              <w:left w:type="dxa" w:w="120"/>
              <w:bottom w:type="dxa" w:w="80"/>
              <w:right w:type="dxa" w:w="120"/>
            </w:tcMar>
          </w:tcPr>
          <w:p>
            <w:pPr>
              <w:jc w:val="center"/>
            </w:pPr>
            <w:r>
              <w:rPr>
                <w:b/>
                <w:bCs/>
              </w:rPr>
              <w:t xml:space="preserve">Value</w:t>
            </w:r>
          </w:p>
        </w:tc>
      </w:tr>
      <w:tr>
        <w:tc>
          <w:tcPr>
            <w:tcW w:type="dxa" w:w="4680"/>
            <w:tcMar>
              <w:top w:type="dxa" w:w="80"/>
              <w:left w:type="dxa" w:w="120"/>
              <w:bottom w:type="dxa" w:w="80"/>
              <w:right w:type="dxa" w:w="120"/>
            </w:tcMar>
          </w:tcPr>
          <w:p>
            <w:pPr>
              <w:jc w:val="left"/>
            </w:pPr>
            <w:r>
              <w:rPr>
                <w:b w:val="false"/>
                <w:bCs w:val="false"/>
              </w:rPr>
              <w:t xml:space="preserve">Accuracy</w:t>
            </w:r>
          </w:p>
        </w:tc>
        <w:tc>
          <w:tcPr>
            <w:tcW w:type="dxa" w:w="4680"/>
            <w:tcMar>
              <w:top w:type="dxa" w:w="80"/>
              <w:left w:type="dxa" w:w="120"/>
              <w:bottom w:type="dxa" w:w="80"/>
              <w:right w:type="dxa" w:w="120"/>
            </w:tcMar>
          </w:tcPr>
          <w:p>
            <w:pPr>
              <w:jc w:val="center"/>
            </w:pPr>
            <w:r>
              <w:rPr>
                <w:b w:val="false"/>
                <w:bCs w:val="false"/>
              </w:rPr>
              <w:t xml:space="preserve">0.9603</w:t>
            </w:r>
          </w:p>
        </w:tc>
      </w:tr>
      <w:tr>
        <w:tc>
          <w:tcPr>
            <w:tcW w:type="dxa" w:w="4680"/>
            <w:tcMar>
              <w:top w:type="dxa" w:w="80"/>
              <w:left w:type="dxa" w:w="120"/>
              <w:bottom w:type="dxa" w:w="80"/>
              <w:right w:type="dxa" w:w="120"/>
            </w:tcMar>
          </w:tcPr>
          <w:p>
            <w:pPr>
              <w:jc w:val="left"/>
            </w:pPr>
            <w:r>
              <w:rPr>
                <w:b w:val="false"/>
                <w:bCs w:val="false"/>
              </w:rPr>
              <w:t xml:space="preserve">Precision</w:t>
            </w:r>
          </w:p>
        </w:tc>
        <w:tc>
          <w:tcPr>
            <w:tcW w:type="dxa" w:w="4680"/>
            <w:tcMar>
              <w:top w:type="dxa" w:w="80"/>
              <w:left w:type="dxa" w:w="120"/>
              <w:bottom w:type="dxa" w:w="80"/>
              <w:right w:type="dxa" w:w="120"/>
            </w:tcMar>
          </w:tcPr>
          <w:p>
            <w:pPr>
              <w:jc w:val="center"/>
            </w:pPr>
            <w:r>
              <w:rPr>
                <w:b w:val="false"/>
                <w:bCs w:val="false"/>
              </w:rPr>
              <w:t xml:space="preserve">0.7397</w:t>
            </w:r>
          </w:p>
        </w:tc>
      </w:tr>
      <w:tr>
        <w:tc>
          <w:tcPr>
            <w:tcW w:type="dxa" w:w="4680"/>
            <w:tcMar>
              <w:top w:type="dxa" w:w="80"/>
              <w:left w:type="dxa" w:w="120"/>
              <w:bottom w:type="dxa" w:w="80"/>
              <w:right w:type="dxa" w:w="120"/>
            </w:tcMar>
          </w:tcPr>
          <w:p>
            <w:pPr>
              <w:jc w:val="left"/>
            </w:pPr>
            <w:r>
              <w:rPr>
                <w:b w:val="false"/>
                <w:bCs w:val="false"/>
              </w:rPr>
              <w:t xml:space="preserve">Recall</w:t>
            </w:r>
          </w:p>
        </w:tc>
        <w:tc>
          <w:tcPr>
            <w:tcW w:type="dxa" w:w="4680"/>
            <w:tcMar>
              <w:top w:type="dxa" w:w="80"/>
              <w:left w:type="dxa" w:w="120"/>
              <w:bottom w:type="dxa" w:w="80"/>
              <w:right w:type="dxa" w:w="120"/>
            </w:tcMar>
          </w:tcPr>
          <w:p>
            <w:pPr>
              <w:jc w:val="center"/>
            </w:pPr>
            <w:r>
              <w:rPr>
                <w:b w:val="false"/>
                <w:bCs w:val="false"/>
              </w:rPr>
              <w:t xml:space="preserve">0.4106</w:t>
            </w:r>
          </w:p>
        </w:tc>
      </w:tr>
      <w:tr>
        <w:tc>
          <w:tcPr>
            <w:tcW w:type="dxa" w:w="4680"/>
            <w:tcMar>
              <w:top w:type="dxa" w:w="80"/>
              <w:left w:type="dxa" w:w="120"/>
              <w:bottom w:type="dxa" w:w="80"/>
              <w:right w:type="dxa" w:w="120"/>
            </w:tcMar>
          </w:tcPr>
          <w:p>
            <w:pPr>
              <w:jc w:val="left"/>
            </w:pPr>
            <w:r>
              <w:rPr>
                <w:b w:val="false"/>
                <w:bCs w:val="false"/>
              </w:rPr>
              <w:t xml:space="preserve">F1-Score</w:t>
            </w:r>
          </w:p>
        </w:tc>
        <w:tc>
          <w:tcPr>
            <w:tcW w:type="dxa" w:w="4680"/>
            <w:tcMar>
              <w:top w:type="dxa" w:w="80"/>
              <w:left w:type="dxa" w:w="120"/>
              <w:bottom w:type="dxa" w:w="80"/>
              <w:right w:type="dxa" w:w="120"/>
            </w:tcMar>
          </w:tcPr>
          <w:p>
            <w:pPr>
              <w:jc w:val="center"/>
            </w:pPr>
            <w:r>
              <w:rPr>
                <w:b w:val="false"/>
                <w:bCs w:val="false"/>
              </w:rPr>
              <w:t xml:space="preserve">0.5281</w:t>
            </w:r>
          </w:p>
        </w:tc>
      </w:tr>
      <w:tr>
        <w:tc>
          <w:tcPr>
            <w:tcW w:type="dxa" w:w="4680"/>
            <w:tcMar>
              <w:top w:type="dxa" w:w="80"/>
              <w:left w:type="dxa" w:w="120"/>
              <w:bottom w:type="dxa" w:w="80"/>
              <w:right w:type="dxa" w:w="120"/>
            </w:tcMar>
          </w:tcPr>
          <w:p>
            <w:pPr>
              <w:jc w:val="left"/>
            </w:pPr>
            <w:r>
              <w:rPr>
                <w:b w:val="false"/>
                <w:bCs w:val="false"/>
              </w:rPr>
              <w:t xml:space="preserve">ROC-AUC Score</w:t>
            </w:r>
          </w:p>
        </w:tc>
        <w:tc>
          <w:tcPr>
            <w:tcW w:type="dxa" w:w="4680"/>
            <w:tcMar>
              <w:top w:type="dxa" w:w="80"/>
              <w:left w:type="dxa" w:w="120"/>
              <w:bottom w:type="dxa" w:w="80"/>
              <w:right w:type="dxa" w:w="120"/>
            </w:tcMar>
          </w:tcPr>
          <w:p>
            <w:pPr>
              <w:jc w:val="center"/>
            </w:pPr>
            <w:r>
              <w:rPr>
                <w:b w:val="false"/>
                <w:bCs w:val="false"/>
              </w:rPr>
              <w:t xml:space="preserve">0.9613</w:t>
            </w:r>
          </w:p>
        </w:tc>
      </w:tr>
    </w:tbl>
    <w:p>
      <w:pPr>
        <w:spacing w:after="200"/>
      </w:pPr>
    </w:p>
    <w:p>
      <w:pPr>
        <w:spacing w:after="120"/>
      </w:pPr>
      <w:r>
        <w:rPr>
          <w:b/>
          <w:bCs/>
        </w:rPr>
        <w:t xml:space="preserve">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8"/>
        <w:gridCol w:w="3088"/>
      </w:tblGrid>
      <w:tr>
        <w:tc>
          <w:tcPr>
            <w:tcW w:type="dxa" w:w="3182"/>
            <w:tcMar>
              <w:top w:type="dxa" w:w="80"/>
              <w:left w:type="dxa" w:w="120"/>
              <w:bottom w:type="dxa" w:w="80"/>
              <w:right w:type="dxa" w:w="120"/>
            </w:tcMar>
          </w:tcPr>
          <w:p>
            <w:pPr>
              <w:jc w:val="left"/>
            </w:pPr>
            <w:r>
              <w:rPr>
                <w:b w:val="false"/>
                <w:bCs w:val="false"/>
              </w:rPr>
              <w:t xml:space="preserve"/>
            </w:r>
          </w:p>
        </w:tc>
        <w:tc>
          <w:tcPr>
            <w:tcW w:type="dxa" w:w="3088"/>
            <w:shd w:fill="D9E2F3" w:color="auto" w:val="clear"/>
            <w:tcMar>
              <w:top w:type="dxa" w:w="80"/>
              <w:left w:type="dxa" w:w="120"/>
              <w:bottom w:type="dxa" w:w="80"/>
              <w:right w:type="dxa" w:w="120"/>
            </w:tcMar>
          </w:tcPr>
          <w:p>
            <w:pPr>
              <w:jc w:val="center"/>
            </w:pPr>
            <w:r>
              <w:rPr>
                <w:b/>
                <w:bCs/>
              </w:rPr>
              <w:t xml:space="preserve">Predicted: Non-Distressed</w:t>
            </w:r>
          </w:p>
        </w:tc>
        <w:tc>
          <w:tcPr>
            <w:tcW w:type="dxa" w:w="3088"/>
            <w:shd w:fill="D9E2F3" w:color="auto" w:val="clear"/>
            <w:tcMar>
              <w:top w:type="dxa" w:w="80"/>
              <w:left w:type="dxa" w:w="120"/>
              <w:bottom w:type="dxa" w:w="80"/>
              <w:right w:type="dxa" w:w="120"/>
            </w:tcMar>
          </w:tcPr>
          <w:p>
            <w:pPr>
              <w:jc w:val="center"/>
            </w:pPr>
            <w:r>
              <w:rPr>
                <w:b/>
                <w:bCs/>
              </w:rPr>
              <w:t xml:space="preserve">Predicted: Distressed</w:t>
            </w:r>
          </w:p>
        </w:tc>
      </w:tr>
      <w:tr>
        <w:tc>
          <w:tcPr>
            <w:tcW w:type="dxa" w:w="3182"/>
            <w:shd w:fill="F2F2F2" w:color="auto" w:val="clear"/>
            <w:tcMar>
              <w:top w:type="dxa" w:w="80"/>
              <w:left w:type="dxa" w:w="120"/>
              <w:bottom w:type="dxa" w:w="80"/>
              <w:right w:type="dxa" w:w="120"/>
            </w:tcMar>
          </w:tcPr>
          <w:p>
            <w:pPr>
              <w:jc w:val="left"/>
            </w:pPr>
            <w:r>
              <w:rPr>
                <w:b/>
                <w:bCs/>
              </w:rPr>
              <w:t xml:space="preserve">Actual: Non-Distressed</w:t>
            </w:r>
          </w:p>
        </w:tc>
        <w:tc>
          <w:tcPr>
            <w:tcW w:type="dxa" w:w="3088"/>
            <w:tcMar>
              <w:top w:type="dxa" w:w="80"/>
              <w:left w:type="dxa" w:w="120"/>
              <w:bottom w:type="dxa" w:w="80"/>
              <w:right w:type="dxa" w:w="120"/>
            </w:tcMar>
          </w:tcPr>
          <w:p>
            <w:pPr>
              <w:jc w:val="center"/>
            </w:pPr>
            <w:r>
              <w:rPr>
                <w:b w:val="false"/>
                <w:bCs w:val="false"/>
              </w:rPr>
              <w:t xml:space="preserve">4558</w:t>
            </w:r>
          </w:p>
        </w:tc>
        <w:tc>
          <w:tcPr>
            <w:tcW w:type="dxa" w:w="3088"/>
            <w:tcMar>
              <w:top w:type="dxa" w:w="80"/>
              <w:left w:type="dxa" w:w="120"/>
              <w:bottom w:type="dxa" w:w="80"/>
              <w:right w:type="dxa" w:w="120"/>
            </w:tcMar>
          </w:tcPr>
          <w:p>
            <w:pPr>
              <w:jc w:val="center"/>
            </w:pPr>
            <w:r>
              <w:rPr>
                <w:b w:val="false"/>
                <w:bCs w:val="false"/>
              </w:rPr>
              <w:t xml:space="preserve">38</w:t>
            </w:r>
          </w:p>
        </w:tc>
      </w:tr>
      <w:tr>
        <w:tc>
          <w:tcPr>
            <w:tcW w:type="dxa" w:w="3182"/>
            <w:shd w:fill="F2F2F2" w:color="auto" w:val="clear"/>
            <w:tcMar>
              <w:top w:type="dxa" w:w="80"/>
              <w:left w:type="dxa" w:w="120"/>
              <w:bottom w:type="dxa" w:w="80"/>
              <w:right w:type="dxa" w:w="120"/>
            </w:tcMar>
          </w:tcPr>
          <w:p>
            <w:pPr>
              <w:jc w:val="left"/>
            </w:pPr>
            <w:r>
              <w:rPr>
                <w:b/>
                <w:bCs/>
              </w:rPr>
              <w:t xml:space="preserve">Actual: Distressed</w:t>
            </w:r>
          </w:p>
        </w:tc>
        <w:tc>
          <w:tcPr>
            <w:tcW w:type="dxa" w:w="3088"/>
            <w:tcMar>
              <w:top w:type="dxa" w:w="80"/>
              <w:left w:type="dxa" w:w="120"/>
              <w:bottom w:type="dxa" w:w="80"/>
              <w:right w:type="dxa" w:w="120"/>
            </w:tcMar>
          </w:tcPr>
          <w:p>
            <w:pPr>
              <w:jc w:val="center"/>
            </w:pPr>
            <w:r>
              <w:rPr>
                <w:b w:val="false"/>
                <w:bCs w:val="false"/>
              </w:rPr>
              <w:t xml:space="preserve">155</w:t>
            </w:r>
          </w:p>
        </w:tc>
        <w:tc>
          <w:tcPr>
            <w:tcW w:type="dxa" w:w="3088"/>
            <w:tcMar>
              <w:top w:type="dxa" w:w="80"/>
              <w:left w:type="dxa" w:w="120"/>
              <w:bottom w:type="dxa" w:w="80"/>
              <w:right w:type="dxa" w:w="120"/>
            </w:tcMar>
          </w:tcPr>
          <w:p>
            <w:pPr>
              <w:jc w:val="center"/>
            </w:pPr>
            <w:r>
              <w:rPr>
                <w:b w:val="false"/>
                <w:bCs w:val="false"/>
              </w:rPr>
              <w:t xml:space="preserve">108</w:t>
            </w:r>
          </w:p>
        </w:tc>
      </w:tr>
    </w:tbl>
    <w:p>
      <w:pPr>
        <w:spacing w:after="200"/>
      </w:pPr>
    </w:p>
    <w:p>
      <w:pPr>
        <w:spacing w:after="160"/>
      </w:pPr>
      <w:r>
        <w:t xml:space="preserve">The model correctly classified 4,666 of 4,859 test samples (4,558 true negatives and 108 true positives), with 38 false positives and 155 false negatives.</w:t>
      </w:r>
    </w:p>
    <w:p>
      <w:pPr>
        <w:pStyle w:val="Heading1"/>
        <w:spacing w:after="120" w:before="240"/>
      </w:pPr>
      <w:r>
        <w:t xml:space="preserve">4. Interpretation of Results</w:t>
      </w:r>
    </w:p>
    <w:p>
      <w:pPr>
        <w:spacing w:after="160"/>
      </w:pPr>
      <w:r>
        <w:t xml:space="preserve">The Logistic Regression model achieved strong but imperfect performance. Overall accuracy (96.03%) and ROC-AUC (0.9613) are both high, indicating that the model separates the two classes well across a range of decision thresholds. However, because the dataset is imbalanced (roughly 94.6% Non-Distressed vs. 5.4% Distressed in the test set), accuracy alone is not a reliable indicator of how well the model identifies distressed students.</w:t>
      </w:r>
    </w:p>
    <w:p>
      <w:pPr>
        <w:spacing w:after="160"/>
      </w:pPr>
      <w:r>
        <w:t xml:space="preserve">Precision (0.7397) shows that when the model predicts a student is Distressed, it is correct about 74% of the time. Recall (0.4106) shows that the model only identifies about 41% of the students who are truly Distressed, missing 155 of the 263 distressed students in the test set (false negatives). This gap between precision and recall, reflected in the moderate F1-score (0.5281), suggests the model is conservative: at the default 0.5 probability threshold it under-predicts the minority "Distressed" class.</w:t>
      </w:r>
    </w:p>
    <w:p>
      <w:pPr>
        <w:spacing w:after="160"/>
      </w:pPr>
      <w:r>
        <w:t xml:space="preserve">In a mental health screening context, false negatives (distressed students classified as not distressed) are generally more costly than false positives, since they represent students who may not receive follow-up support. This suggests the group may want to explore lowering the classification threshold below 0.5, or using class-weighting, to trade some precision for higher recall when comparing models in Phase 5.</w:t>
      </w:r>
    </w:p>
    <w:p>
      <w:pPr>
        <w:pStyle w:val="Heading1"/>
        <w:spacing w:after="120" w:before="240"/>
      </w:pPr>
      <w:r>
        <w:t xml:space="preserve">5. Challenges Faced</w:t>
      </w:r>
    </w:p>
    <w:p>
      <w:pPr>
        <w:pStyle w:val="ListParagraph"/>
        <w:numPr>
          <w:ilvl w:val="0"/>
          <w:numId w:val="1"/>
        </w:numPr>
        <w:spacing w:after="100"/>
      </w:pPr>
      <w:r>
        <w:t xml:space="preserve">The default solver did not converge within scikit-learn's default iteration limit on this 39-feature dataset; max_iter was increased to 1000 to reach convergence.</w:t>
      </w:r>
    </w:p>
    <w:p>
      <w:pPr>
        <w:pStyle w:val="ListParagraph"/>
        <w:numPr>
          <w:ilvl w:val="0"/>
          <w:numId w:val="1"/>
        </w:numPr>
        <w:spacing w:after="100"/>
      </w:pPr>
      <w:r>
        <w:t xml:space="preserve">Class imbalance (approximately 5.4% Distressed vs. 94.6% Non-Distressed) meant that accuracy alone was misleading, so precision, recall, F1-score, and ROC-AUC were all monitored together.</w:t>
      </w:r>
    </w:p>
    <w:p>
      <w:pPr>
        <w:pStyle w:val="ListParagraph"/>
        <w:numPr>
          <w:ilvl w:val="0"/>
          <w:numId w:val="1"/>
        </w:numPr>
        <w:spacing w:after="100"/>
      </w:pPr>
      <w:r>
        <w:t xml:space="preserve">The relatively low recall (41%) indicates the model misses a substantial share of distressed students at the default threshold; this was flagged for discussion rather than silently reported as a strength.</w:t>
      </w:r>
    </w:p>
    <w:p>
      <w:pPr>
        <w:pStyle w:val="ListParagraph"/>
        <w:numPr>
          <w:ilvl w:val="0"/>
          <w:numId w:val="1"/>
        </w:numPr>
        <w:spacing w:after="100"/>
      </w:pPr>
      <w:r>
        <w:t xml:space="preserve">Confirmed that no additional preprocessing, scaling, or feature selection was applied on top of the provided cleaned dataset, per the group's fairness requirement for model comparison.</w:t>
      </w:r>
    </w:p>
    <w:p>
      <w:pPr>
        <w:pStyle w:val="Heading1"/>
        <w:spacing w:after="120" w:before="240"/>
      </w:pPr>
      <w:r>
        <w:t xml:space="preserve">6. Conclusion</w:t>
      </w:r>
    </w:p>
    <w:p>
      <w:pPr>
        <w:spacing w:after="160"/>
      </w:pPr>
      <w:r>
        <w:t xml:space="preserve">The Logistic Regression model was successfully implemented, trained, and evaluated using the shared cleaned dataset and train-test split. It achieved high overall accuracy and a strong ROC-AUC score, but only moderate recall on the minority "Distressed" class, reflecting the real difficulty of this classification task and the effect of class imbalance. The code, metrics, and confusion matrix are ready for inclusion in the group's Phase 5 Comparative Analysis, along with a discussion of threshold tuning or class-weighting as possible next steps to improve recall.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2026-07-13T11:59:13.867Z</dcterms:created>
  <dcterms:modified xsi:type="dcterms:W3CDTF">2026-07-13T11:59:13.881Z</dcterms:modified>
</cp:coreProperties>
</file>

<file path=docProps/custom.xml><?xml version="1.0" encoding="utf-8"?>
<Properties xmlns="http://schemas.openxmlformats.org/officeDocument/2006/custom-properties" xmlns:vt="http://schemas.openxmlformats.org/officeDocument/2006/docPropsVTypes"/>
</file>