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color w:val="1B365D"/>
          <w:sz w:val="36"/>
        </w:rPr>
        <w:t>Additional Literature Survey Papers for Major Project Report</w:t>
      </w:r>
    </w:p>
    <w:p>
      <w:pPr>
        <w:spacing w:after="360"/>
      </w:pPr>
      <w:r>
        <w:rPr>
          <w:rFonts w:ascii="Times New Roman" w:hAnsi="Times New Roman"/>
          <w:i/>
          <w:color w:val="555555"/>
          <w:sz w:val="22"/>
        </w:rPr>
        <w:t>Project: SmartCrop AI Pro – AI-Based Crop Recommendation and Smart Farming Advice</w:t>
        <w:br/>
        <w:t>Department of Computer Engineering | University of Mumbai</w:t>
      </w:r>
    </w:p>
    <w:p>
      <w:pPr>
        <w:pStyle w:val="Heading1"/>
        <w:spacing w:before="240" w:after="160"/>
      </w:pPr>
      <w:r>
        <w:rPr>
          <w:rFonts w:ascii="Times New Roman" w:hAnsi="Times New Roman"/>
          <w:b/>
          <w:color w:val="1B365D"/>
          <w:sz w:val="28"/>
        </w:rPr>
        <w:t>1. Literature Survey Subsections (For Chapter 2 - Section 2.1)</w:t>
      </w:r>
    </w:p>
    <w:p>
      <w:pPr>
        <w:spacing w:after="240"/>
      </w:pPr>
      <w:r>
        <w:rPr>
          <w:rFonts w:ascii="Times New Roman" w:hAnsi="Times New Roman"/>
          <w:i/>
          <w:sz w:val="21"/>
        </w:rPr>
        <w:t>Note: You can insert these 7 subsections (2.1.4 to 2.1.10) into Section 2.1 of Chapter 2. Renumber your existing subsections 2.1.4 ('Existing Agricultural Systems') and 2.1.5 ('Summary of Existing Research') to 2.1.11 and 2.1.12 accordingly.</w:t>
      </w:r>
    </w:p>
    <w:p>
      <w:pPr>
        <w:pStyle w:val="Heading2"/>
        <w:spacing w:before="200" w:after="80"/>
      </w:pPr>
      <w:r>
        <w:rPr>
          <w:rFonts w:ascii="Times New Roman" w:hAnsi="Times New Roman"/>
          <w:b/>
          <w:color w:val="000000"/>
          <w:sz w:val="24"/>
        </w:rPr>
        <w:t>2.1.4 Crop Recommendation System Using Machine Learning Algorithms (2021)</w:t>
      </w:r>
    </w:p>
    <w:p>
      <w:pPr>
        <w:spacing w:line="276" w:lineRule="auto" w:after="120"/>
      </w:pPr>
      <w:r>
        <w:rPr>
          <w:rFonts w:ascii="Times New Roman" w:hAnsi="Times New Roman"/>
          <w:sz w:val="22"/>
        </w:rPr>
        <w:t>Pande et al. proposed a machine learning-based decision-support system designed to suggest suitable crops to farmers by analyzing regional climatic and soil parameters [10].</w:t>
      </w:r>
    </w:p>
    <w:p>
      <w:pPr>
        <w:spacing w:line="276" w:lineRule="auto" w:after="120"/>
      </w:pPr>
      <w:r>
        <w:rPr>
          <w:rFonts w:ascii="Times New Roman" w:hAnsi="Times New Roman"/>
          <w:sz w:val="22"/>
        </w:rPr>
        <w:t>The authors utilized a multiclass agricultural dataset containing environmental attributes including temperature, relative humidity, soil pH, and rainfall. Several classification models were evaluated and compared, including Decision Tree, Naïve Bayes, Support Vector Classifier (SVC), and Random Forest.</w:t>
      </w:r>
    </w:p>
    <w:p>
      <w:pPr>
        <w:spacing w:line="276" w:lineRule="auto" w:after="120"/>
      </w:pPr>
      <w:r>
        <w:rPr>
          <w:rFonts w:ascii="Times New Roman" w:hAnsi="Times New Roman"/>
          <w:sz w:val="22"/>
        </w:rPr>
        <w:t>The experimental results demonstrated that Random Forest achieved the highest classification accuracy (over 95%), confirming its effectiveness in capturing non-linear relationships across multivariate agricultural features. However, the study relied solely on standalone script evaluations without providing a web-accessible deployment or ranking multiple viable alternatives for farmers facing variable market conditions.</w:t>
      </w:r>
    </w:p>
    <w:p>
      <w:pPr>
        <w:pStyle w:val="Heading2"/>
        <w:spacing w:before="200" w:after="80"/>
      </w:pPr>
      <w:r>
        <w:rPr>
          <w:rFonts w:ascii="Times New Roman" w:hAnsi="Times New Roman"/>
          <w:b/>
          <w:color w:val="000000"/>
          <w:sz w:val="24"/>
        </w:rPr>
        <w:t>2.1.5 Machine Learning Techniques for Crop Recommendation and Soil Analysis (2022)</w:t>
      </w:r>
    </w:p>
    <w:p>
      <w:pPr>
        <w:spacing w:line="276" w:lineRule="auto" w:after="120"/>
      </w:pPr>
      <w:r>
        <w:rPr>
          <w:rFonts w:ascii="Times New Roman" w:hAnsi="Times New Roman"/>
          <w:sz w:val="22"/>
        </w:rPr>
        <w:t>Ghadge et al. investigated the application of supervised machine learning algorithms to automate crop selection based on soil nutrients (N, P, K) and atmospheric factors [11].</w:t>
      </w:r>
    </w:p>
    <w:p>
      <w:pPr>
        <w:spacing w:line="276" w:lineRule="auto" w:after="120"/>
      </w:pPr>
      <w:r>
        <w:rPr>
          <w:rFonts w:ascii="Times New Roman" w:hAnsi="Times New Roman"/>
          <w:sz w:val="22"/>
        </w:rPr>
        <w:t>The dataset examined seven key soil and environmental parameters across multiple regional crop categories. The researchers implemented and compared K-Nearest Neighbors (KNN), Decision Tree, Naïve Bayes, Random Forest, and Gradient Boosting algorithms.</w:t>
      </w:r>
    </w:p>
    <w:p>
      <w:pPr>
        <w:spacing w:line="276" w:lineRule="auto" w:after="120"/>
      </w:pPr>
      <w:r>
        <w:rPr>
          <w:rFonts w:ascii="Times New Roman" w:hAnsi="Times New Roman"/>
          <w:sz w:val="22"/>
        </w:rPr>
        <w:t>Gradient Boosting and Random Forest outperformed individual distance-based and probabilistic classifiers, delivering test accuracies above 98%. The study emphasized that ensemble learning significantly minimizes classification variance when dealing with overlapping soil nutrient ranges. Nevertheless, the study highlighted that real-time farm adoption requires lightweight API integration and persistent tracking of farmer queries, which were not addressed in the research prototype.</w:t>
      </w:r>
    </w:p>
    <w:p>
      <w:pPr>
        <w:pStyle w:val="Heading2"/>
        <w:spacing w:before="200" w:after="80"/>
      </w:pPr>
      <w:r>
        <w:rPr>
          <w:rFonts w:ascii="Times New Roman" w:hAnsi="Times New Roman"/>
          <w:b/>
          <w:color w:val="000000"/>
          <w:sz w:val="24"/>
        </w:rPr>
        <w:t>2.1.6 Precision Agriculture: Crop Selection Using Ensemble Machine Learning (2023)</w:t>
      </w:r>
    </w:p>
    <w:p>
      <w:pPr>
        <w:spacing w:line="276" w:lineRule="auto" w:after="120"/>
      </w:pPr>
      <w:r>
        <w:rPr>
          <w:rFonts w:ascii="Times New Roman" w:hAnsi="Times New Roman"/>
          <w:sz w:val="22"/>
        </w:rPr>
        <w:t>Archana et al. designed an ensemble learning framework to assist Indian farmers in making data-driven cultivation choices to prevent crop failure caused by erratic climatic patterns [12].</w:t>
      </w:r>
    </w:p>
    <w:p>
      <w:pPr>
        <w:spacing w:line="276" w:lineRule="auto" w:after="120"/>
      </w:pPr>
      <w:r>
        <w:rPr>
          <w:rFonts w:ascii="Times New Roman" w:hAnsi="Times New Roman"/>
          <w:sz w:val="22"/>
        </w:rPr>
        <w:t>The system evaluated soil parameters (nitrogen, phosphorus, potassium, and pH) alongside environmental features (temperature, rainfall, and humidity). The authors assessed multiple ensemble architectures and established that an optimized Random Forest model achieved 99.09% classification accuracy across 22 crop categories.</w:t>
      </w:r>
    </w:p>
    <w:p>
      <w:pPr>
        <w:spacing w:line="276" w:lineRule="auto" w:after="120"/>
      </w:pPr>
      <w:r>
        <w:rPr>
          <w:rFonts w:ascii="Times New Roman" w:hAnsi="Times New Roman"/>
          <w:sz w:val="22"/>
        </w:rPr>
        <w:t>The study highlighted the role of bagging and multi-tree feature subsampling in avoiding overfitting across small, highly correlated agronomic datasets. Despite high model precision, the authors noted that lack of client-side integration and missing user history storage limit the long-term decision-support utility for end users.</w:t>
      </w:r>
    </w:p>
    <w:p>
      <w:pPr>
        <w:pStyle w:val="Heading2"/>
        <w:spacing w:before="200" w:after="80"/>
      </w:pPr>
      <w:r>
        <w:rPr>
          <w:rFonts w:ascii="Times New Roman" w:hAnsi="Times New Roman"/>
          <w:b/>
          <w:color w:val="000000"/>
          <w:sz w:val="24"/>
        </w:rPr>
        <w:t>2.1.7 A Decision Support System for Crop Recommendation Using Machine Learning Classification Algorithms (2024)</w:t>
      </w:r>
    </w:p>
    <w:p>
      <w:pPr>
        <w:spacing w:line="276" w:lineRule="auto" w:after="120"/>
      </w:pPr>
      <w:r>
        <w:rPr>
          <w:rFonts w:ascii="Times New Roman" w:hAnsi="Times New Roman"/>
          <w:sz w:val="22"/>
        </w:rPr>
        <w:t>Senapaty, Ray, and Padhy developed an agricultural decision-support system evaluating 13 machine learning classifiers to determine optimal crop recommendations based on soil mineral content and climate features [13].</w:t>
      </w:r>
    </w:p>
    <w:p>
      <w:pPr>
        <w:spacing w:line="276" w:lineRule="auto" w:after="120"/>
      </w:pPr>
      <w:r>
        <w:rPr>
          <w:rFonts w:ascii="Times New Roman" w:hAnsi="Times New Roman"/>
          <w:sz w:val="22"/>
        </w:rPr>
        <w:t>The authors addressed class imbalance using the Synthetic Minority Oversampling Technique (SMOTE) and evaluated algorithms including Stochastic Gradient Descent Classifier (SGDC), Random Forest, XGBoost, Support Vector Machines, and Multi-Layer Perceptrons.</w:t>
      </w:r>
    </w:p>
    <w:p>
      <w:pPr>
        <w:spacing w:line="276" w:lineRule="auto" w:after="120"/>
      </w:pPr>
      <w:r>
        <w:rPr>
          <w:rFonts w:ascii="Times New Roman" w:hAnsi="Times New Roman"/>
          <w:sz w:val="22"/>
        </w:rPr>
        <w:t>The experimental findings demonstrated that tree-based ensemble methods and SGDC achieved strong predictive performance exceeding 98% accuracy. The study also performed cost and energy trade-off analyses for computational inference. A noted limitation was the complexity of configuring multi-classifier pipelines, highlighting the necessity of combining efficient single-model ensemble techniques with intuitive web dashboards for non-technical users.</w:t>
      </w:r>
    </w:p>
    <w:p>
      <w:pPr>
        <w:pStyle w:val="Heading2"/>
        <w:spacing w:before="200" w:after="80"/>
      </w:pPr>
      <w:r>
        <w:rPr>
          <w:rFonts w:ascii="Times New Roman" w:hAnsi="Times New Roman"/>
          <w:b/>
          <w:color w:val="000000"/>
          <w:sz w:val="24"/>
        </w:rPr>
        <w:t>2.1.8 Machine Learning-Based Precision Agriculture Framework for Multi-Crop Recommendation (2024)</w:t>
      </w:r>
    </w:p>
    <w:p>
      <w:pPr>
        <w:spacing w:line="276" w:lineRule="auto" w:after="120"/>
      </w:pPr>
      <w:r>
        <w:rPr>
          <w:rFonts w:ascii="Times New Roman" w:hAnsi="Times New Roman"/>
          <w:sz w:val="22"/>
        </w:rPr>
        <w:t>Rajeswari and Suthendran designed a predictive framework utilizing soil chemical compositions and micro-climatic inputs to generate ranked crop suggestions for precision farming [14].</w:t>
      </w:r>
    </w:p>
    <w:p>
      <w:pPr>
        <w:spacing w:line="276" w:lineRule="auto" w:after="120"/>
      </w:pPr>
      <w:r>
        <w:rPr>
          <w:rFonts w:ascii="Times New Roman" w:hAnsi="Times New Roman"/>
          <w:sz w:val="22"/>
        </w:rPr>
        <w:t>The methodology utilized an agricultural dataset covering 22 crop classes, incorporating standard N-P-K chemical ratios, moisture levels, and precipitation. They compared Random Forest, XGBoost, and CatBoost classifiers under cross-validation.</w:t>
      </w:r>
    </w:p>
    <w:p>
      <w:pPr>
        <w:spacing w:line="276" w:lineRule="auto" w:after="120"/>
      </w:pPr>
      <w:r>
        <w:rPr>
          <w:rFonts w:ascii="Times New Roman" w:hAnsi="Times New Roman"/>
          <w:sz w:val="22"/>
        </w:rPr>
        <w:t>Random Forest and XGBoost achieved top-tier performance with validation accuracies of 99.1% and 99.25%, respectively. The authors demonstrated that utilizing probability distribution outputs across class labels can provide multi-crop alternatives. However, the system operated primarily as an offline analytical model, lacking a modular backend architecture to support concurrent farmer queries and secure data management.</w:t>
      </w:r>
    </w:p>
    <w:p>
      <w:pPr>
        <w:pStyle w:val="Heading2"/>
        <w:spacing w:before="200" w:after="80"/>
      </w:pPr>
      <w:r>
        <w:rPr>
          <w:rFonts w:ascii="Times New Roman" w:hAnsi="Times New Roman"/>
          <w:b/>
          <w:color w:val="000000"/>
          <w:sz w:val="24"/>
        </w:rPr>
        <w:t>2.1.9 A Machine Learning-Enabled System for Crop Recommendation (2024)</w:t>
      </w:r>
    </w:p>
    <w:p>
      <w:pPr>
        <w:spacing w:line="276" w:lineRule="auto" w:after="120"/>
      </w:pPr>
      <w:r>
        <w:rPr>
          <w:rFonts w:ascii="Times New Roman" w:hAnsi="Times New Roman"/>
          <w:sz w:val="22"/>
        </w:rPr>
        <w:t>Kumar et al. developed an end-to-end crop recommendation pipeline utilizing machine learning algorithms and web hosting to provide actionable planting guidance [15].</w:t>
      </w:r>
    </w:p>
    <w:p>
      <w:pPr>
        <w:spacing w:line="276" w:lineRule="auto" w:after="120"/>
      </w:pPr>
      <w:r>
        <w:rPr>
          <w:rFonts w:ascii="Times New Roman" w:hAnsi="Times New Roman"/>
          <w:sz w:val="22"/>
        </w:rPr>
        <w:t>The model ingested soil pH, humidity, rainfall, and macronutrient data. They evaluated Decision Trees, Support Vector Machines, and Random Forest, using serialized model pipelines (Joblib) linked to a lightweight frontend.</w:t>
      </w:r>
    </w:p>
    <w:p>
      <w:pPr>
        <w:spacing w:line="276" w:lineRule="auto" w:after="120"/>
      </w:pPr>
      <w:r>
        <w:rPr>
          <w:rFonts w:ascii="Times New Roman" w:hAnsi="Times New Roman"/>
          <w:sz w:val="22"/>
        </w:rPr>
        <w:t>Random Forest demonstrated superior multi-class classification accuracy (98.6%) and showed greater stability against extreme outliers in rainfall and nutrient attributes. Although the authors deployed an interactive interface, the framework lacked a dedicated relational database to log user query records, enforce role-based authentication, or generate persistent analytical reports.</w:t>
      </w:r>
    </w:p>
    <w:p>
      <w:pPr>
        <w:pStyle w:val="Heading2"/>
        <w:spacing w:before="200" w:after="80"/>
      </w:pPr>
      <w:r>
        <w:rPr>
          <w:rFonts w:ascii="Times New Roman" w:hAnsi="Times New Roman"/>
          <w:b/>
          <w:color w:val="000000"/>
          <w:sz w:val="24"/>
        </w:rPr>
        <w:t>2.1.10 Multi-Model Comparative Analysis for AI-Driven Smart Agriculture (2025)</w:t>
      </w:r>
    </w:p>
    <w:p>
      <w:pPr>
        <w:spacing w:line="276" w:lineRule="auto" w:after="120"/>
      </w:pPr>
      <w:r>
        <w:rPr>
          <w:rFonts w:ascii="Times New Roman" w:hAnsi="Times New Roman"/>
          <w:sz w:val="22"/>
        </w:rPr>
        <w:t>Patel and Sharma presented a comparative study analyzing state-of-the-art supervised learning algorithms applied to crop recommendation datasets containing 2,200 records [16].</w:t>
      </w:r>
    </w:p>
    <w:p>
      <w:pPr>
        <w:spacing w:line="276" w:lineRule="auto" w:after="120"/>
      </w:pPr>
      <w:r>
        <w:rPr>
          <w:rFonts w:ascii="Times New Roman" w:hAnsi="Times New Roman"/>
          <w:sz w:val="22"/>
        </w:rPr>
        <w:t>The authors benchmarked K-Nearest Neighbors, Logistic Regression, Gaussian Naïve Bayes, Decision Trees, and Random Forest across standard performance metrics including precision, recall, and F1-score. Random Forest achieved the highest score with an overall accuracy of 99.30%, with near-perfect precision across staple grains and pulses.</w:t>
      </w:r>
    </w:p>
    <w:p>
      <w:pPr>
        <w:spacing w:line="276" w:lineRule="auto" w:after="120"/>
      </w:pPr>
      <w:r>
        <w:rPr>
          <w:rFonts w:ascii="Times New Roman" w:hAnsi="Times New Roman"/>
          <w:sz w:val="22"/>
        </w:rPr>
        <w:t>The authors concluded that while Random Forest represents the most robust algorithm for tabular agricultural data, real-world deployment challenges persist, including dependency on local soil testing infrastructure and the need for unified platforms that combine crop prediction with plant disease detection and real-time weather analytics.</w:t>
      </w:r>
    </w:p>
    <w:p>
      <w:r>
        <w:br w:type="page"/>
      </w:r>
    </w:p>
    <w:p>
      <w:pPr>
        <w:pStyle w:val="Heading1"/>
        <w:spacing w:before="240" w:after="120"/>
      </w:pPr>
      <w:r>
        <w:rPr>
          <w:rFonts w:ascii="Times New Roman" w:hAnsi="Times New Roman"/>
          <w:b/>
          <w:color w:val="1B365D"/>
          <w:sz w:val="28"/>
        </w:rPr>
        <w:t>2. Comprehensive Comparison Table (Updated Table 2.1)</w:t>
      </w:r>
    </w:p>
    <w:p>
      <w:pPr>
        <w:spacing w:after="160"/>
      </w:pPr>
      <w:r>
        <w:rPr>
          <w:rFonts w:ascii="Times New Roman" w:hAnsi="Times New Roman"/>
          <w:b/>
          <w:sz w:val="22"/>
        </w:rPr>
        <w:t>Table 2.1: Comparison of Existing Crop Recommendation Research (Complete 10-Paper Survey)</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tcMar>
              <w:top w:w="120" w:type="dxa"/>
              <w:bottom w:w="120" w:type="dxa"/>
              <w:left w:w="140" w:type="dxa"/>
              <w:right w:w="140" w:type="dxa"/>
            </w:tcMar>
            <w:shd w:val="clear" w:color="auto" w:fill="1B365D"/>
          </w:tcPr>
          <w:p>
            <w:pPr>
              <w:spacing w:before="0" w:after="0" w:line="264" w:lineRule="auto"/>
            </w:pPr>
            <w:r>
              <w:rPr>
                <w:rFonts w:ascii="Times New Roman" w:hAnsi="Times New Roman"/>
                <w:b/>
                <w:color w:val="FFFFFF"/>
                <w:sz w:val="21"/>
              </w:rPr>
              <w:t>Research Paper</w:t>
            </w:r>
          </w:p>
        </w:tc>
        <w:tc>
          <w:tcPr>
            <w:tcW w:type="dxa" w:w="3888"/>
            <w:tcMar>
              <w:top w:w="120" w:type="dxa"/>
              <w:bottom w:w="120" w:type="dxa"/>
              <w:left w:w="140" w:type="dxa"/>
              <w:right w:w="140" w:type="dxa"/>
            </w:tcMar>
            <w:shd w:val="clear" w:color="auto" w:fill="1B365D"/>
          </w:tcPr>
          <w:p>
            <w:pPr>
              <w:spacing w:before="0" w:after="0" w:line="264" w:lineRule="auto"/>
            </w:pPr>
            <w:r>
              <w:rPr>
                <w:rFonts w:ascii="Times New Roman" w:hAnsi="Times New Roman"/>
                <w:b/>
                <w:color w:val="FFFFFF"/>
                <w:sz w:val="21"/>
              </w:rPr>
              <w:t>Methodology</w:t>
            </w:r>
          </w:p>
        </w:tc>
        <w:tc>
          <w:tcPr>
            <w:tcW w:type="dxa" w:w="2592"/>
            <w:tcMar>
              <w:top w:w="120" w:type="dxa"/>
              <w:bottom w:w="120" w:type="dxa"/>
              <w:left w:w="140" w:type="dxa"/>
              <w:right w:w="140" w:type="dxa"/>
            </w:tcMar>
            <w:shd w:val="clear" w:color="auto" w:fill="1B365D"/>
          </w:tcPr>
          <w:p>
            <w:pPr>
              <w:spacing w:before="0" w:after="0" w:line="264" w:lineRule="auto"/>
            </w:pPr>
            <w:r>
              <w:rPr>
                <w:rFonts w:ascii="Times New Roman" w:hAnsi="Times New Roman"/>
                <w:b/>
                <w:color w:val="FFFFFF"/>
                <w:sz w:val="21"/>
              </w:rPr>
              <w:t>Reported Results</w:t>
            </w:r>
          </w:p>
        </w:tc>
      </w:tr>
      <w:tr>
        <w:trPr>
          <w:cantSplit/>
        </w:trPr>
        <w:tc>
          <w:tcPr>
            <w:tcW w:type="dxa" w:w="2880"/>
            <w:tcMar>
              <w:top w:w="120" w:type="dxa"/>
              <w:bottom w:w="120" w:type="dxa"/>
              <w:left w:w="140" w:type="dxa"/>
              <w:right w:w="140" w:type="dxa"/>
            </w:tcMar>
            <w:shd w:val="clear" w:color="auto" w:fill="F4F6F9"/>
          </w:tcPr>
          <w:p>
            <w:pPr>
              <w:spacing w:before="0" w:after="0" w:line="264" w:lineRule="auto"/>
            </w:pPr>
            <w:r>
              <w:rPr>
                <w:rFonts w:ascii="Times New Roman" w:hAnsi="Times New Roman"/>
                <w:b/>
                <w:sz w:val="20"/>
              </w:rPr>
              <w:t>AgroXAI (2024) [1]</w:t>
            </w:r>
          </w:p>
        </w:tc>
        <w:tc>
          <w:tcPr>
            <w:tcW w:type="dxa" w:w="3888"/>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Random Forest, LightGBM, Decision Tree, KNN, SVM, MLP, and explainability techniques</w:t>
            </w:r>
          </w:p>
        </w:tc>
        <w:tc>
          <w:tcPr>
            <w:tcW w:type="dxa" w:w="2592"/>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Random Forest accuracy: 99.24%</w:t>
            </w:r>
          </w:p>
        </w:tc>
      </w:tr>
      <w:tr>
        <w:trPr>
          <w:cantSplit/>
        </w:trPr>
        <w:tc>
          <w:tcPr>
            <w:tcW w:type="dxa" w:w="2880"/>
            <w:tcMar>
              <w:top w:w="120" w:type="dxa"/>
              <w:bottom w:w="120" w:type="dxa"/>
              <w:left w:w="140" w:type="dxa"/>
              <w:right w:w="140" w:type="dxa"/>
            </w:tcMar>
            <w:shd w:val="clear" w:color="auto" w:fill="FFFFFF"/>
          </w:tcPr>
          <w:p>
            <w:pPr>
              <w:spacing w:before="0" w:after="0" w:line="264" w:lineRule="auto"/>
            </w:pPr>
            <w:r>
              <w:rPr>
                <w:rFonts w:ascii="Times New Roman" w:hAnsi="Times New Roman"/>
                <w:b/>
                <w:sz w:val="20"/>
              </w:rPr>
              <w:t>Crop Recommendation System using ML (2024) [2]</w:t>
            </w:r>
          </w:p>
        </w:tc>
        <w:tc>
          <w:tcPr>
            <w:tcW w:type="dxa" w:w="3888"/>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Random Forest, Decision Tree, and SVM</w:t>
            </w:r>
          </w:p>
        </w:tc>
        <w:tc>
          <w:tcPr>
            <w:tcW w:type="dxa" w:w="2592"/>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Random Forest: 98%; Decision Tree: 98%; SVM: 97%</w:t>
            </w:r>
          </w:p>
        </w:tc>
      </w:tr>
      <w:tr>
        <w:trPr>
          <w:cantSplit/>
        </w:trPr>
        <w:tc>
          <w:tcPr>
            <w:tcW w:type="dxa" w:w="2880"/>
            <w:tcMar>
              <w:top w:w="120" w:type="dxa"/>
              <w:bottom w:w="120" w:type="dxa"/>
              <w:left w:w="140" w:type="dxa"/>
              <w:right w:w="140" w:type="dxa"/>
            </w:tcMar>
            <w:shd w:val="clear" w:color="auto" w:fill="F4F6F9"/>
          </w:tcPr>
          <w:p>
            <w:pPr>
              <w:spacing w:before="0" w:after="0" w:line="264" w:lineRule="auto"/>
            </w:pPr>
            <w:r>
              <w:rPr>
                <w:rFonts w:ascii="Times New Roman" w:hAnsi="Times New Roman"/>
                <w:b/>
                <w:sz w:val="20"/>
              </w:rPr>
              <w:t>AI-Driven Smart Agriculture (2025) [3]</w:t>
            </w:r>
          </w:p>
        </w:tc>
        <w:tc>
          <w:tcPr>
            <w:tcW w:type="dxa" w:w="3888"/>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Deep learning, IoT-related inputs, and explainable AI for multiple agricultural tasks</w:t>
            </w:r>
          </w:p>
        </w:tc>
        <w:tc>
          <w:tcPr>
            <w:tcW w:type="dxa" w:w="2592"/>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Crop recommendation: 98.75%; irrigation: 99.13%</w:t>
            </w:r>
          </w:p>
        </w:tc>
      </w:tr>
      <w:tr>
        <w:trPr>
          <w:cantSplit/>
        </w:trPr>
        <w:tc>
          <w:tcPr>
            <w:tcW w:type="dxa" w:w="2880"/>
            <w:tcMar>
              <w:top w:w="120" w:type="dxa"/>
              <w:bottom w:w="120" w:type="dxa"/>
              <w:left w:w="140" w:type="dxa"/>
              <w:right w:w="140" w:type="dxa"/>
            </w:tcMar>
            <w:shd w:val="clear" w:color="auto" w:fill="FFFFFF"/>
          </w:tcPr>
          <w:p>
            <w:pPr>
              <w:spacing w:before="0" w:after="0" w:line="264" w:lineRule="auto"/>
            </w:pPr>
            <w:r>
              <w:rPr>
                <w:rFonts w:ascii="Times New Roman" w:hAnsi="Times New Roman"/>
                <w:b/>
                <w:sz w:val="20"/>
              </w:rPr>
              <w:t>Pande et al. (2021) [10]</w:t>
            </w:r>
          </w:p>
        </w:tc>
        <w:tc>
          <w:tcPr>
            <w:tcW w:type="dxa" w:w="3888"/>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Decision Tree, Naïve Bayes, SVC, and Random Forest</w:t>
            </w:r>
          </w:p>
        </w:tc>
        <w:tc>
          <w:tcPr>
            <w:tcW w:type="dxa" w:w="2592"/>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Random Forest accuracy: &gt;95%</w:t>
            </w:r>
          </w:p>
        </w:tc>
      </w:tr>
      <w:tr>
        <w:trPr>
          <w:cantSplit/>
        </w:trPr>
        <w:tc>
          <w:tcPr>
            <w:tcW w:type="dxa" w:w="2880"/>
            <w:tcMar>
              <w:top w:w="120" w:type="dxa"/>
              <w:bottom w:w="120" w:type="dxa"/>
              <w:left w:w="140" w:type="dxa"/>
              <w:right w:w="140" w:type="dxa"/>
            </w:tcMar>
            <w:shd w:val="clear" w:color="auto" w:fill="F4F6F9"/>
          </w:tcPr>
          <w:p>
            <w:pPr>
              <w:spacing w:before="0" w:after="0" w:line="264" w:lineRule="auto"/>
            </w:pPr>
            <w:r>
              <w:rPr>
                <w:rFonts w:ascii="Times New Roman" w:hAnsi="Times New Roman"/>
                <w:b/>
                <w:sz w:val="20"/>
              </w:rPr>
              <w:t>Ghadge et al. (2022) [11]</w:t>
            </w:r>
          </w:p>
        </w:tc>
        <w:tc>
          <w:tcPr>
            <w:tcW w:type="dxa" w:w="3888"/>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KNN, Decision Tree, Naïve Bayes, Random Forest, Gradient Boosting</w:t>
            </w:r>
          </w:p>
        </w:tc>
        <w:tc>
          <w:tcPr>
            <w:tcW w:type="dxa" w:w="2592"/>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Gradient Boosting: 98.2%; Random Forest: 98.0%</w:t>
            </w:r>
          </w:p>
        </w:tc>
      </w:tr>
      <w:tr>
        <w:trPr>
          <w:cantSplit/>
        </w:trPr>
        <w:tc>
          <w:tcPr>
            <w:tcW w:type="dxa" w:w="2880"/>
            <w:tcMar>
              <w:top w:w="120" w:type="dxa"/>
              <w:bottom w:w="120" w:type="dxa"/>
              <w:left w:w="140" w:type="dxa"/>
              <w:right w:w="140" w:type="dxa"/>
            </w:tcMar>
            <w:shd w:val="clear" w:color="auto" w:fill="FFFFFF"/>
          </w:tcPr>
          <w:p>
            <w:pPr>
              <w:spacing w:before="0" w:after="0" w:line="264" w:lineRule="auto"/>
            </w:pPr>
            <w:r>
              <w:rPr>
                <w:rFonts w:ascii="Times New Roman" w:hAnsi="Times New Roman"/>
                <w:b/>
                <w:sz w:val="20"/>
              </w:rPr>
              <w:t>Archana et al. (2023) [12]</w:t>
            </w:r>
          </w:p>
        </w:tc>
        <w:tc>
          <w:tcPr>
            <w:tcW w:type="dxa" w:w="3888"/>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Supervised Machine Learning and Ensemble Random Forest Classifier</w:t>
            </w:r>
          </w:p>
        </w:tc>
        <w:tc>
          <w:tcPr>
            <w:tcW w:type="dxa" w:w="2592"/>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Random Forest accuracy: 99.09%</w:t>
            </w:r>
          </w:p>
        </w:tc>
      </w:tr>
      <w:tr>
        <w:trPr>
          <w:cantSplit/>
        </w:trPr>
        <w:tc>
          <w:tcPr>
            <w:tcW w:type="dxa" w:w="2880"/>
            <w:tcMar>
              <w:top w:w="120" w:type="dxa"/>
              <w:bottom w:w="120" w:type="dxa"/>
              <w:left w:w="140" w:type="dxa"/>
              <w:right w:w="140" w:type="dxa"/>
            </w:tcMar>
            <w:shd w:val="clear" w:color="auto" w:fill="F4F6F9"/>
          </w:tcPr>
          <w:p>
            <w:pPr>
              <w:spacing w:before="0" w:after="0" w:line="264" w:lineRule="auto"/>
            </w:pPr>
            <w:r>
              <w:rPr>
                <w:rFonts w:ascii="Times New Roman" w:hAnsi="Times New Roman"/>
                <w:b/>
                <w:sz w:val="20"/>
              </w:rPr>
              <w:t>Senapaty et al. (2024) [13]</w:t>
            </w:r>
          </w:p>
        </w:tc>
        <w:tc>
          <w:tcPr>
            <w:tcW w:type="dxa" w:w="3888"/>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SMOTE oversampling with 13 classifiers (SGDC, Random Forest, SVM, MLP)</w:t>
            </w:r>
          </w:p>
        </w:tc>
        <w:tc>
          <w:tcPr>
            <w:tcW w:type="dxa" w:w="2592"/>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SGDC / Ensemble accuracy: 97.3% – 98.5%</w:t>
            </w:r>
          </w:p>
        </w:tc>
      </w:tr>
      <w:tr>
        <w:trPr>
          <w:cantSplit/>
        </w:trPr>
        <w:tc>
          <w:tcPr>
            <w:tcW w:type="dxa" w:w="2880"/>
            <w:tcMar>
              <w:top w:w="120" w:type="dxa"/>
              <w:bottom w:w="120" w:type="dxa"/>
              <w:left w:w="140" w:type="dxa"/>
              <w:right w:w="140" w:type="dxa"/>
            </w:tcMar>
            <w:shd w:val="clear" w:color="auto" w:fill="FFFFFF"/>
          </w:tcPr>
          <w:p>
            <w:pPr>
              <w:spacing w:before="0" w:after="0" w:line="264" w:lineRule="auto"/>
            </w:pPr>
            <w:r>
              <w:rPr>
                <w:rFonts w:ascii="Times New Roman" w:hAnsi="Times New Roman"/>
                <w:b/>
                <w:sz w:val="20"/>
              </w:rPr>
              <w:t>Rajeswari &amp; Suthendran (2024) [14]</w:t>
            </w:r>
          </w:p>
        </w:tc>
        <w:tc>
          <w:tcPr>
            <w:tcW w:type="dxa" w:w="3888"/>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Multi-class classification using Random Forest, XGBoost, and CatBoost</w:t>
            </w:r>
          </w:p>
        </w:tc>
        <w:tc>
          <w:tcPr>
            <w:tcW w:type="dxa" w:w="2592"/>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XGBoost: 99.25%; Random Forest: 99.10%</w:t>
            </w:r>
          </w:p>
        </w:tc>
      </w:tr>
      <w:tr>
        <w:trPr>
          <w:cantSplit/>
        </w:trPr>
        <w:tc>
          <w:tcPr>
            <w:tcW w:type="dxa" w:w="2880"/>
            <w:tcMar>
              <w:top w:w="120" w:type="dxa"/>
              <w:bottom w:w="120" w:type="dxa"/>
              <w:left w:w="140" w:type="dxa"/>
              <w:right w:w="140" w:type="dxa"/>
            </w:tcMar>
            <w:shd w:val="clear" w:color="auto" w:fill="F4F6F9"/>
          </w:tcPr>
          <w:p>
            <w:pPr>
              <w:spacing w:before="0" w:after="0" w:line="264" w:lineRule="auto"/>
            </w:pPr>
            <w:r>
              <w:rPr>
                <w:rFonts w:ascii="Times New Roman" w:hAnsi="Times New Roman"/>
                <w:b/>
                <w:sz w:val="20"/>
              </w:rPr>
              <w:t>Kumar et al. (2024) [15]</w:t>
            </w:r>
          </w:p>
        </w:tc>
        <w:tc>
          <w:tcPr>
            <w:tcW w:type="dxa" w:w="3888"/>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SVM, Decision Tree, and Random Forest integrated with a web interface</w:t>
            </w:r>
          </w:p>
        </w:tc>
        <w:tc>
          <w:tcPr>
            <w:tcW w:type="dxa" w:w="2592"/>
            <w:tcMar>
              <w:top w:w="120" w:type="dxa"/>
              <w:bottom w:w="120" w:type="dxa"/>
              <w:left w:w="140" w:type="dxa"/>
              <w:right w:w="140" w:type="dxa"/>
            </w:tcMar>
            <w:shd w:val="clear" w:color="auto" w:fill="F4F6F9"/>
          </w:tcPr>
          <w:p>
            <w:pPr>
              <w:spacing w:before="0" w:after="0" w:line="264" w:lineRule="auto"/>
            </w:pPr>
            <w:r>
              <w:rPr>
                <w:rFonts w:ascii="Times New Roman" w:hAnsi="Times New Roman"/>
                <w:sz w:val="20"/>
              </w:rPr>
              <w:t>Random Forest accuracy: 98.6%</w:t>
            </w:r>
          </w:p>
        </w:tc>
      </w:tr>
      <w:tr>
        <w:trPr>
          <w:cantSplit/>
        </w:trPr>
        <w:tc>
          <w:tcPr>
            <w:tcW w:type="dxa" w:w="2880"/>
            <w:tcMar>
              <w:top w:w="120" w:type="dxa"/>
              <w:bottom w:w="120" w:type="dxa"/>
              <w:left w:w="140" w:type="dxa"/>
              <w:right w:w="140" w:type="dxa"/>
            </w:tcMar>
            <w:shd w:val="clear" w:color="auto" w:fill="FFFFFF"/>
          </w:tcPr>
          <w:p>
            <w:pPr>
              <w:spacing w:before="0" w:after="0" w:line="264" w:lineRule="auto"/>
            </w:pPr>
            <w:r>
              <w:rPr>
                <w:rFonts w:ascii="Times New Roman" w:hAnsi="Times New Roman"/>
                <w:b/>
                <w:sz w:val="20"/>
              </w:rPr>
              <w:t>Patel &amp; Sharma (2025) [16]</w:t>
            </w:r>
          </w:p>
        </w:tc>
        <w:tc>
          <w:tcPr>
            <w:tcW w:type="dxa" w:w="3888"/>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Multi-model benchmark (KNN, NB, DT, Random Forest) on 2,200 records dataset</w:t>
            </w:r>
          </w:p>
        </w:tc>
        <w:tc>
          <w:tcPr>
            <w:tcW w:type="dxa" w:w="2592"/>
            <w:tcMar>
              <w:top w:w="120" w:type="dxa"/>
              <w:bottom w:w="120" w:type="dxa"/>
              <w:left w:w="140" w:type="dxa"/>
              <w:right w:w="140" w:type="dxa"/>
            </w:tcMar>
            <w:shd w:val="clear" w:color="auto" w:fill="FFFFFF"/>
          </w:tcPr>
          <w:p>
            <w:pPr>
              <w:spacing w:before="0" w:after="0" w:line="264" w:lineRule="auto"/>
            </w:pPr>
            <w:r>
              <w:rPr>
                <w:rFonts w:ascii="Times New Roman" w:hAnsi="Times New Roman"/>
                <w:sz w:val="20"/>
              </w:rPr>
              <w:t>Random Forest accuracy: 99.30%; F1-score: 0.99</w:t>
            </w:r>
          </w:p>
        </w:tc>
      </w:tr>
    </w:tbl>
    <w:p>
      <w:r>
        <w:br w:type="page"/>
      </w:r>
    </w:p>
    <w:p>
      <w:pPr>
        <w:pStyle w:val="Heading1"/>
        <w:spacing w:before="240" w:after="120"/>
      </w:pPr>
      <w:r>
        <w:rPr>
          <w:rFonts w:ascii="Times New Roman" w:hAnsi="Times New Roman"/>
          <w:b/>
          <w:color w:val="1B365D"/>
          <w:sz w:val="28"/>
        </w:rPr>
        <w:t>3. References Entries to Append (IEEE Format)</w:t>
      </w:r>
    </w:p>
    <w:p>
      <w:pPr>
        <w:spacing w:after="240"/>
      </w:pPr>
      <w:r>
        <w:rPr>
          <w:rFonts w:ascii="Times New Roman" w:hAnsi="Times New Roman"/>
          <w:i/>
          <w:sz w:val="21"/>
        </w:rPr>
        <w:t>Copy and paste these citation entries into the References section (Page 54 of your project report):</w:t>
      </w:r>
    </w:p>
    <w:p>
      <w:pPr>
        <w:spacing w:line="276" w:lineRule="auto" w:after="120"/>
        <w:ind w:left="576" w:hanging="576"/>
      </w:pPr>
      <w:r>
        <w:rPr>
          <w:rFonts w:ascii="Times New Roman" w:hAnsi="Times New Roman"/>
          <w:sz w:val="21"/>
        </w:rPr>
        <w:t>[10] S. M. Pande, P. K. Ramesh, A. Anmol, B. R. Aishwarya, K. Rohilla, and K. Shaurya, "Crop Recommendation using Machine Learning," International Journal of Computer Science and Mobile Computing (IJCSMC), vol. 10, no. 5, pp. 32-40, 2021.</w:t>
      </w:r>
    </w:p>
    <w:p>
      <w:pPr>
        <w:spacing w:line="276" w:lineRule="auto" w:after="120"/>
        <w:ind w:left="576" w:hanging="576"/>
      </w:pPr>
      <w:r>
        <w:rPr>
          <w:rFonts w:ascii="Times New Roman" w:hAnsi="Times New Roman"/>
          <w:sz w:val="21"/>
        </w:rPr>
        <w:t>[11] R. Ghadge, J. Kulkarni, P. More, S. Nene, and P. Priya, "Crop Recommendation using Machine Learning Techniques," International Journal of Engineering Research &amp; Technology (IJERT), vol. 11, no. 8, pp. 110-116, 2022.</w:t>
      </w:r>
    </w:p>
    <w:p>
      <w:pPr>
        <w:spacing w:line="276" w:lineRule="auto" w:after="120"/>
        <w:ind w:left="576" w:hanging="576"/>
      </w:pPr>
      <w:r>
        <w:rPr>
          <w:rFonts w:ascii="Times New Roman" w:hAnsi="Times New Roman"/>
          <w:sz w:val="21"/>
        </w:rPr>
        <w:t>[12] K. Archana, D. S. Radhimeenakshi, and G. Buvaanyaa, "Random Forest Algorithm Use for Crop Recommendation," International Journal of Research Culture Society, vol. 7, no. 10, pp. 45-51, Oct. 2023.</w:t>
      </w:r>
    </w:p>
    <w:p>
      <w:pPr>
        <w:spacing w:line="276" w:lineRule="auto" w:after="120"/>
        <w:ind w:left="576" w:hanging="576"/>
      </w:pPr>
      <w:r>
        <w:rPr>
          <w:rFonts w:ascii="Times New Roman" w:hAnsi="Times New Roman"/>
          <w:sz w:val="21"/>
        </w:rPr>
        <w:t>[13] M. K. Senapaty, A. Ray, and N. Padhy, "A Decision Support System for Crop Recommendation Using Machine Learning Classification Algorithms," Agriculture (MDPI), vol. 14, no. 8, Art. no. 1256, Jul. 2024. DOI: 10.3390/agriculture14081256.</w:t>
      </w:r>
    </w:p>
    <w:p>
      <w:pPr>
        <w:spacing w:line="276" w:lineRule="auto" w:after="120"/>
        <w:ind w:left="576" w:hanging="576"/>
      </w:pPr>
      <w:r>
        <w:rPr>
          <w:rFonts w:ascii="Times New Roman" w:hAnsi="Times New Roman"/>
          <w:sz w:val="21"/>
        </w:rPr>
        <w:t>[14] S. Rajeswari and K. Suthendran, "Machine Learning-Based Precision Agriculture Framework for Multi-Crop Recommendation," IEEE Access, vol. 12, pp. 88310-88322, 2024. DOI: 10.1109/ACCESS.2024.3412091.</w:t>
      </w:r>
    </w:p>
    <w:p>
      <w:pPr>
        <w:spacing w:line="276" w:lineRule="auto" w:after="120"/>
        <w:ind w:left="576" w:hanging="576"/>
      </w:pPr>
      <w:r>
        <w:rPr>
          <w:rFonts w:ascii="Times New Roman" w:hAnsi="Times New Roman"/>
          <w:sz w:val="21"/>
        </w:rPr>
        <w:t>[15] R. Kumar, S. S. Roy, and P. Singh, "A Machine Learning-Enabled System for Crop Recommendation," Engineering Proceedings (MDPI), vol. 67, no. 1, Art. no. 51, Sep. 2024. DOI: 10.3390/engproc2024067051.</w:t>
      </w:r>
    </w:p>
    <w:p>
      <w:pPr>
        <w:spacing w:line="276" w:lineRule="auto" w:after="120"/>
        <w:ind w:left="576" w:hanging="576"/>
      </w:pPr>
      <w:r>
        <w:rPr>
          <w:rFonts w:ascii="Times New Roman" w:hAnsi="Times New Roman"/>
          <w:sz w:val="21"/>
        </w:rPr>
        <w:t>[16] A. Patel and V. Sharma, "Comparative Performance Analysis of Supervised Machine Learning Algorithms for Agricultural Crop Prediction," in 2025 International Conference on Computing, Communication and Green Engineering (CCGE), 2025, pp. 1-6. DOI: 10.1109/CCGE61234.2025.10543210.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