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b/>
          <w:bCs/>
          <w:color w:val="1A1A1A"/>
          <w:sz w:val="40"/>
          <w:szCs w:val="40"/>
        </w:rPr>
        <w:t xml:space="preserve">Understanding Supply and Demand Disparities in EV Charging Infrastructure</w:t>
      </w:r>
    </w:p>
    <w:p>
      <w:pPr>
        <w:spacing w:after="120" w:before="0"/>
      </w:pPr>
      <w:r>
        <w:rPr>
          <w:rFonts w:ascii="Arial" w:cs="Arial" w:eastAsia="Arial" w:hAnsi="Arial"/>
          <w:i/>
          <w:iCs/>
          <w:color w:val="666666"/>
          <w:sz w:val="24"/>
          <w:szCs w:val="24"/>
        </w:rPr>
        <w:t xml:space="preserve">A Variable Framework for Geographic and Behavioral Analysis</w:t>
      </w:r>
    </w:p>
    <w:p>
      <w:pPr>
        <w:spacing w:after="200" w:before="0"/>
      </w:pPr>
      <w:r>
        <w:rPr>
          <w:rFonts w:ascii="Arial" w:cs="Arial" w:eastAsia="Arial" w:hAnsi="Arial"/>
          <w:color w:val="666666"/>
          <w:sz w:val="20"/>
          <w:szCs w:val="20"/>
        </w:rPr>
        <w:t xml:space="preserve">Shifany Arul Brabhaher  |  Independent Research Contribution  |  2025</w:t>
      </w:r>
    </w:p>
    <w:p>
      <w:pPr>
        <w:spacing w:after="480" w:before="0"/>
        <w:jc w:val="both"/>
      </w:pPr>
      <w:r>
        <w:rPr>
          <w:rFonts w:ascii="Arial" w:cs="Arial" w:eastAsia="Arial" w:hAnsi="Arial"/>
          <w:i/>
          <w:iCs/>
          <w:color w:val="666666"/>
          <w:sz w:val="20"/>
          <w:szCs w:val="20"/>
        </w:rPr>
        <w:t xml:space="preserve">This work was completed as an independent research contribution to a larger faculty-led project at UC San Diego. The overarching research agenda was led by a PhD researcher in the Economics Department. The variable framework, R-based data pipeline, and behavioral economics analysis documented here represent the author's independent contribution.</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Abstract</w:t>
      </w:r>
    </w:p>
    <w:p>
      <w:pPr>
        <w:spacing w:after="120" w:before="0"/>
        <w:jc w:val="both"/>
      </w:pPr>
      <w:r>
        <w:rPr>
          <w:rFonts w:ascii="Arial" w:cs="Arial" w:eastAsia="Arial" w:hAnsi="Arial"/>
          <w:color w:val="1A1A1A"/>
          <w:sz w:val="22"/>
          <w:szCs w:val="22"/>
        </w:rPr>
        <w:t xml:space="preserve">This paper investigates the geographic and socioeconomic factors driving disparities between the supply and demand of public electric vehicle (EV) charging infrastructure across California communities. Using a quantitative modeling framework built on zip-code-level data from the California Department of Motor Vehicles (DMV), U.S. Census Bureau, and infrastructure datasets, this research categorizes vehicles by manufacturer, fuel type, and charging plug compatibility to identify infrastructure gaps. Beyond documenting where gaps exist, this analysis examines why they exist, drawing on economic, behavioral, and environmental variables to explain local variation in both charging demand and network supply.</w:t>
      </w:r>
    </w:p>
    <w:p>
      <w:pPr>
        <w:spacing w:after="120" w:before="0"/>
        <w:jc w:val="both"/>
      </w:pPr>
      <w:r>
        <w:rPr>
          <w:rFonts w:ascii="Arial" w:cs="Arial" w:eastAsia="Arial" w:hAnsi="Arial"/>
          <w:color w:val="1A1A1A"/>
          <w:sz w:val="22"/>
          <w:szCs w:val="22"/>
        </w:rPr>
        <w:t xml:space="preserve">The research further connects empirical findings to behavioral economic theory, specifically examining how rational inattention, price salience, and nudge theory shape consumer charging behavior and firm pricing strategy under varying levels of price transparency. This variable framework is intended to support more accurate demand forecasting models and to inform data-driven infrastructure investment decisions.</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1. Introduction</w:t>
      </w:r>
    </w:p>
    <w:p>
      <w:pPr>
        <w:spacing w:after="120" w:before="0"/>
        <w:jc w:val="both"/>
      </w:pPr>
      <w:r>
        <w:rPr>
          <w:rFonts w:ascii="Arial" w:cs="Arial" w:eastAsia="Arial" w:hAnsi="Arial"/>
          <w:color w:val="1A1A1A"/>
          <w:sz w:val="22"/>
          <w:szCs w:val="22"/>
        </w:rPr>
        <w:t xml:space="preserve">The rapid growth of electric vehicle adoption across the United States has created an urgent need to understand the spatial and behavioral dynamics that determine where public charging infrastructure is needed, and where it is being built. A consistent pattern emerges in the data: supply and demand for EV charging are frequently misaligned. In some areas, charging stations sit underutilized while nearby communities with high EV ownership face persistent shortages. In others, infrastructure has been deployed in locations that do not reflect actual demand patterns.</w:t>
      </w:r>
    </w:p>
    <w:p>
      <w:pPr>
        <w:spacing w:after="120" w:before="0"/>
        <w:jc w:val="both"/>
      </w:pPr>
      <w:r>
        <w:rPr>
          <w:rFonts w:ascii="Arial" w:cs="Arial" w:eastAsia="Arial" w:hAnsi="Arial"/>
          <w:color w:val="1A1A1A"/>
          <w:sz w:val="22"/>
          <w:szCs w:val="22"/>
        </w:rPr>
        <w:t xml:space="preserve">This mismatch is not random. It reflects the complex interaction of economic conditions, housing characteristics, transportation behavior, land use patterns, local policy environments, and consumer psychology. Standard demand models that rely solely on EV ownership counts as a proxy for charging need are insufficient. They fail to capture the contextual factors that determine whether a household relies on public charging, when and where they charge, and how they respond to pricing signals.</w:t>
      </w:r>
    </w:p>
    <w:p>
      <w:pPr>
        <w:spacing w:after="120" w:before="0"/>
        <w:jc w:val="both"/>
      </w:pPr>
      <w:r>
        <w:rPr>
          <w:rFonts w:ascii="Arial" w:cs="Arial" w:eastAsia="Arial" w:hAnsi="Arial"/>
          <w:color w:val="1A1A1A"/>
          <w:sz w:val="22"/>
          <w:szCs w:val="22"/>
        </w:rPr>
        <w:t xml:space="preserve">This research constructs a comprehensive variable framework organized across five domains: socioeconomic and housing characteristics, transportation and commuting behavior, physical infrastructure, energy and environmental conditions, and policy context. A sixth domain addresses behavioral variables derived from consumer activity patterns. Together, these variables form the foundation for a multi-dimensional regression model designed to explain and predict local variation in EV charging demand and supply.</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2. Research Question</w:t>
      </w:r>
    </w:p>
    <w:p>
      <w:pPr>
        <w:spacing w:after="120" w:before="0"/>
        <w:jc w:val="both"/>
      </w:pPr>
      <w:r>
        <w:rPr>
          <w:rFonts w:ascii="Arial" w:cs="Arial" w:eastAsia="Arial" w:hAnsi="Arial"/>
          <w:color w:val="1A1A1A"/>
          <w:sz w:val="22"/>
          <w:szCs w:val="22"/>
        </w:rPr>
        <w:t xml:space="preserve">The central question guiding this research is:</w:t>
      </w:r>
    </w:p>
    <w:p>
      <w:pPr>
        <w:spacing w:after="120" w:before="120"/>
        <w:jc w:val="both"/>
      </w:pPr>
      <w:r>
        <w:rPr>
          <w:rFonts w:ascii="Arial" w:cs="Arial" w:eastAsia="Arial" w:hAnsi="Arial"/>
          <w:b/>
          <w:bCs/>
          <w:i/>
          <w:iCs/>
          <w:color w:val="3D6E96"/>
          <w:sz w:val="22"/>
          <w:szCs w:val="22"/>
        </w:rPr>
        <w:t xml:space="preserve">Why do EV charging supply and demand differ across different geographic areas, and which community-level factors best explain this variation?</w:t>
      </w:r>
    </w:p>
    <w:p>
      <w:pPr>
        <w:spacing w:after="120" w:before="0"/>
        <w:jc w:val="both"/>
      </w:pPr>
      <w:r>
        <w:rPr>
          <w:rFonts w:ascii="Arial" w:cs="Arial" w:eastAsia="Arial" w:hAnsi="Arial"/>
          <w:color w:val="1A1A1A"/>
          <w:sz w:val="22"/>
          <w:szCs w:val="22"/>
        </w:rPr>
        <w:t xml:space="preserve">EV ownership provides a direct but incomplete measure of potential charging demand. Community-level contextual factors, including housing type, income, commuting behavior, infrastructure access, and local policy, shape both the scale and the spatial distribution of that demand, as well as the conditions under which charging network operators choose to invest in supply. Understanding this interaction is essential for designing infrastructure strategies that reflect actual community needs rather than aggregate ownership statistics.</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3. Data Sources</w:t>
      </w:r>
    </w:p>
    <w:p>
      <w:pPr>
        <w:spacing w:after="120" w:before="0"/>
        <w:jc w:val="both"/>
      </w:pPr>
      <w:r>
        <w:rPr>
          <w:rFonts w:ascii="Arial" w:cs="Arial" w:eastAsia="Arial" w:hAnsi="Arial"/>
          <w:color w:val="1A1A1A"/>
          <w:sz w:val="22"/>
          <w:szCs w:val="22"/>
        </w:rPr>
        <w:t xml:space="preserve">This analysis draws on the following primary data sources:</w:t>
      </w:r>
    </w:p>
    <w:p>
      <w:pPr>
        <w:pStyle w:val="ListParagraph"/>
        <w:numPr>
          <w:ilvl w:val="0"/>
          <w:numId w:val="2"/>
        </w:numPr>
        <w:spacing w:after="80" w:before="0"/>
      </w:pPr>
      <w:r>
        <w:rPr>
          <w:rFonts w:ascii="Arial" w:cs="Arial" w:eastAsia="Arial" w:hAnsi="Arial"/>
          <w:color w:val="1A1A1A"/>
          <w:sz w:val="22"/>
          <w:szCs w:val="22"/>
        </w:rPr>
        <w:t xml:space="preserve">California Department of Motor Vehicles (DMV): Raw vehicle registration records, converted into zip-code-level datasets categorizing vehicles by manufacturer, fuel type (EV vs. combustion), and charging plug type (Level 2, DC Fast Charge, Tesla proprietary).</w:t>
      </w:r>
    </w:p>
    <w:p>
      <w:pPr>
        <w:pStyle w:val="ListParagraph"/>
        <w:numPr>
          <w:ilvl w:val="0"/>
          <w:numId w:val="2"/>
        </w:numPr>
        <w:spacing w:after="80" w:before="0"/>
      </w:pPr>
      <w:r>
        <w:rPr>
          <w:rFonts w:ascii="Arial" w:cs="Arial" w:eastAsia="Arial" w:hAnsi="Arial"/>
          <w:color w:val="1A1A1A"/>
          <w:sz w:val="22"/>
          <w:szCs w:val="22"/>
        </w:rPr>
        <w:t xml:space="preserve">U.S. Census Bureau, American Community Survey (ACS): Household income, housing tenure and type, commute patterns, educational attainment, employment sector, and demographic data at the zip code and census tract level.</w:t>
      </w:r>
    </w:p>
    <w:p>
      <w:pPr>
        <w:pStyle w:val="ListParagraph"/>
        <w:numPr>
          <w:ilvl w:val="0"/>
          <w:numId w:val="2"/>
        </w:numPr>
        <w:spacing w:after="80" w:before="0"/>
      </w:pPr>
      <w:r>
        <w:rPr>
          <w:rFonts w:ascii="Arial" w:cs="Arial" w:eastAsia="Arial" w:hAnsi="Arial"/>
          <w:color w:val="1A1A1A"/>
          <w:sz w:val="22"/>
          <w:szCs w:val="22"/>
        </w:rPr>
        <w:t xml:space="preserve">Alternative Fuels Station Locator (DOE/AFDC): Public EV charging station locations, network operators, charger types, and installation dates.</w:t>
      </w:r>
    </w:p>
    <w:p>
      <w:pPr>
        <w:pStyle w:val="ListParagraph"/>
        <w:numPr>
          <w:ilvl w:val="0"/>
          <w:numId w:val="2"/>
        </w:numPr>
        <w:spacing w:after="80" w:before="0"/>
      </w:pPr>
      <w:r>
        <w:rPr>
          <w:rFonts w:ascii="Arial" w:cs="Arial" w:eastAsia="Arial" w:hAnsi="Arial"/>
          <w:color w:val="1A1A1A"/>
          <w:sz w:val="22"/>
          <w:szCs w:val="22"/>
        </w:rPr>
        <w:t xml:space="preserve">EPA Air Quality Index (AQI): Regional air quality measurements used as a proxy for environmental policy pressure.</w:t>
      </w:r>
    </w:p>
    <w:p>
      <w:pPr>
        <w:pStyle w:val="ListParagraph"/>
        <w:numPr>
          <w:ilvl w:val="0"/>
          <w:numId w:val="2"/>
        </w:numPr>
        <w:spacing w:after="80" w:before="0"/>
      </w:pPr>
      <w:r>
        <w:rPr>
          <w:rFonts w:ascii="Arial" w:cs="Arial" w:eastAsia="Arial" w:hAnsi="Arial"/>
          <w:color w:val="1A1A1A"/>
          <w:sz w:val="22"/>
          <w:szCs w:val="22"/>
        </w:rPr>
        <w:t xml:space="preserve">U.S. Energy Information Administration (EIA): Regional electricity prices by utility service area.</w:t>
      </w:r>
    </w:p>
    <w:p>
      <w:pPr>
        <w:pStyle w:val="ListParagraph"/>
        <w:numPr>
          <w:ilvl w:val="0"/>
          <w:numId w:val="2"/>
        </w:numPr>
        <w:spacing w:after="80" w:before="0"/>
      </w:pPr>
      <w:r>
        <w:rPr>
          <w:rFonts w:ascii="Arial" w:cs="Arial" w:eastAsia="Arial" w:hAnsi="Arial"/>
          <w:color w:val="1A1A1A"/>
          <w:sz w:val="22"/>
          <w:szCs w:val="22"/>
        </w:rPr>
        <w:t xml:space="preserve">OpenStreetMap and commercial GIS data: Proximity to highways, shopping centers, restaurants, and parking infrastructure.</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4. Variable Framework</w:t>
      </w:r>
    </w:p>
    <w:p>
      <w:pPr>
        <w:spacing w:after="120" w:before="0"/>
        <w:jc w:val="both"/>
      </w:pPr>
      <w:r>
        <w:rPr>
          <w:rFonts w:ascii="Arial" w:cs="Arial" w:eastAsia="Arial" w:hAnsi="Arial"/>
          <w:color w:val="1A1A1A"/>
          <w:sz w:val="22"/>
          <w:szCs w:val="22"/>
        </w:rPr>
        <w:t xml:space="preserve">The following sections define each variable category used in this analysis, along with the theoretical rationale connecting each variable to EV charging supply or demand. Variables are drawn from census data, DMV records, infrastructure datasets, and environmental sources.</w:t>
      </w:r>
    </w:p>
    <w:p>
      <w:pPr>
        <w:pStyle w:val="Heading2"/>
        <w:spacing w:after="120" w:before="280"/>
      </w:pPr>
      <w:r>
        <w:rPr>
          <w:rFonts w:ascii="Arial" w:cs="Arial" w:eastAsia="Arial" w:hAnsi="Arial"/>
          <w:b/>
          <w:bCs/>
          <w:color w:val="1A1A1A"/>
          <w:sz w:val="24"/>
          <w:szCs w:val="24"/>
        </w:rPr>
        <w:t xml:space="preserve">4.1 Socioeconomic and Housing Variables</w:t>
      </w:r>
    </w:p>
    <w:p>
      <w:pPr>
        <w:spacing w:after="120" w:before="0"/>
        <w:jc w:val="both"/>
      </w:pPr>
      <w:r>
        <w:rPr>
          <w:rFonts w:ascii="Arial" w:cs="Arial" w:eastAsia="Arial" w:hAnsi="Arial"/>
          <w:color w:val="1A1A1A"/>
          <w:sz w:val="22"/>
          <w:szCs w:val="22"/>
        </w:rPr>
        <w:t xml:space="preserve">Housing type and tenure are among the strongest predictors of public charging reliance. A household with access to a private garage can charge at home overnight, dramatically reducing its dependence on public infrastructure. Conversely, households in multi-unit dwellings or rental properties face structural barriers to home charging installation, pushing them toward public networks regardless of EV ownership rates.</w:t>
      </w:r>
    </w:p>
    <w:p>
      <w:pPr>
        <w:pStyle w:val="ListParagraph"/>
        <w:numPr>
          <w:ilvl w:val="0"/>
          <w:numId w:val="2"/>
        </w:numPr>
        <w:spacing w:after="80" w:before="0"/>
      </w:pPr>
      <w:r>
        <w:rPr>
          <w:rFonts w:ascii="Arial" w:cs="Arial" w:eastAsia="Arial" w:hAnsi="Arial"/>
          <w:b/>
          <w:bCs/>
          <w:color w:val="1A1A1A"/>
          <w:sz w:val="22"/>
          <w:szCs w:val="22"/>
        </w:rPr>
        <w:t xml:space="preserve"> Higher incomes correlate with higher EV adoption rates, reflecting both the purchase price of electric vehicles and environmental awareness. However, high-income areas with predominantly single-family housing may generate less public charging demand due to home charging access. Income therefore operates as a dual signal: a driver of EV adoption and a moderator of public charging reliance.</w:t>
      </w:r>
      <w:r>
        <w:rPr>
          <w:rFonts w:ascii="Arial" w:cs="Arial" w:eastAsia="Arial" w:hAnsi="Arial"/>
          <w:color w:val="1A1A1A"/>
          <w:sz w:val="22"/>
          <w:szCs w:val="22"/>
        </w:rPr>
        <w:t xml:space="preserve">Average Household Income:</w:t>
      </w:r>
    </w:p>
    <w:p>
      <w:pPr>
        <w:pStyle w:val="ListParagraph"/>
        <w:numPr>
          <w:ilvl w:val="0"/>
          <w:numId w:val="2"/>
        </w:numPr>
        <w:spacing w:after="80" w:before="0"/>
      </w:pPr>
      <w:r>
        <w:rPr>
          <w:rFonts w:ascii="Arial" w:cs="Arial" w:eastAsia="Arial" w:hAnsi="Arial"/>
          <w:b/>
          <w:bCs/>
          <w:color w:val="1A1A1A"/>
          <w:sz w:val="22"/>
          <w:szCs w:val="22"/>
        </w:rPr>
        <w:t xml:space="preserve"> Areas with greater single-family housing density are associated with higher rates of home charging access, reducing per-capita public charging demand. This variable helps control for the structural advantage conferred by private garage access.</w:t>
      </w:r>
      <w:r>
        <w:rPr>
          <w:rFonts w:ascii="Arial" w:cs="Arial" w:eastAsia="Arial" w:hAnsi="Arial"/>
          <w:color w:val="1A1A1A"/>
          <w:sz w:val="22"/>
          <w:szCs w:val="22"/>
        </w:rPr>
        <w:t xml:space="preserve">Share of Single-Family Homes:</w:t>
      </w:r>
    </w:p>
    <w:p>
      <w:pPr>
        <w:pStyle w:val="ListParagraph"/>
        <w:numPr>
          <w:ilvl w:val="0"/>
          <w:numId w:val="2"/>
        </w:numPr>
        <w:spacing w:after="80" w:before="0"/>
      </w:pPr>
      <w:r>
        <w:rPr>
          <w:rFonts w:ascii="Arial" w:cs="Arial" w:eastAsia="Arial" w:hAnsi="Arial"/>
          <w:b/>
          <w:bCs/>
          <w:color w:val="1A1A1A"/>
          <w:sz w:val="22"/>
          <w:szCs w:val="22"/>
        </w:rPr>
        <w:t xml:space="preserve"> Renters face significant barriers to installing home charging equipment, making this variable a direct proxy for structural public charging demand. Areas with high renter populations may show elevated demand for public charging independent of EV ownership levels.</w:t>
      </w:r>
      <w:r>
        <w:rPr>
          <w:rFonts w:ascii="Arial" w:cs="Arial" w:eastAsia="Arial" w:hAnsi="Arial"/>
          <w:color w:val="1A1A1A"/>
          <w:sz w:val="22"/>
          <w:szCs w:val="22"/>
        </w:rPr>
        <w:t xml:space="preserve">Share of Renter-Occupied Housing Units:</w:t>
      </w:r>
    </w:p>
    <w:p>
      <w:pPr>
        <w:pStyle w:val="ListParagraph"/>
        <w:numPr>
          <w:ilvl w:val="0"/>
          <w:numId w:val="2"/>
        </w:numPr>
        <w:spacing w:after="80" w:before="0"/>
      </w:pPr>
      <w:r>
        <w:rPr>
          <w:rFonts w:ascii="Arial" w:cs="Arial" w:eastAsia="Arial" w:hAnsi="Arial"/>
          <w:b/>
          <w:bCs/>
          <w:color w:val="1A1A1A"/>
          <w:sz w:val="22"/>
          <w:szCs w:val="22"/>
        </w:rPr>
        <w:t xml:space="preserve"> Used as a secondary proxy for housing spaciousness and the likelihood of private parking or garage access. Larger units in lower-density settings are more likely to support home charging infrastructure.</w:t>
      </w:r>
      <w:r>
        <w:rPr>
          <w:rFonts w:ascii="Arial" w:cs="Arial" w:eastAsia="Arial" w:hAnsi="Arial"/>
          <w:color w:val="1A1A1A"/>
          <w:sz w:val="22"/>
          <w:szCs w:val="22"/>
        </w:rPr>
        <w:t xml:space="preserve">Average Number of Rooms per Housing Unit:</w:t>
      </w:r>
    </w:p>
    <w:p>
      <w:pPr>
        <w:pStyle w:val="ListParagraph"/>
        <w:numPr>
          <w:ilvl w:val="0"/>
          <w:numId w:val="2"/>
        </w:numPr>
        <w:spacing w:after="80" w:before="0"/>
      </w:pPr>
      <w:r>
        <w:rPr>
          <w:rFonts w:ascii="Arial" w:cs="Arial" w:eastAsia="Arial" w:hAnsi="Arial"/>
          <w:b/>
          <w:bCs/>
          <w:color w:val="1A1A1A"/>
          <w:sz w:val="22"/>
          <w:szCs w:val="22"/>
        </w:rPr>
        <w:t xml:space="preserve"> Higher density areas have less access to private parking and charging infrastructure, increasing reliance on public networks. Density also affects the economics of network deployment, as high foot traffic can improve station utilization rates.</w:t>
      </w:r>
      <w:r>
        <w:rPr>
          <w:rFonts w:ascii="Arial" w:cs="Arial" w:eastAsia="Arial" w:hAnsi="Arial"/>
          <w:color w:val="1A1A1A"/>
          <w:sz w:val="22"/>
          <w:szCs w:val="22"/>
        </w:rPr>
        <w:t xml:space="preserve">Population Density:</w:t>
      </w:r>
    </w:p>
    <w:p>
      <w:pPr>
        <w:pStyle w:val="ListParagraph"/>
        <w:numPr>
          <w:ilvl w:val="0"/>
          <w:numId w:val="2"/>
        </w:numPr>
        <w:spacing w:after="80" w:before="0"/>
      </w:pPr>
      <w:r>
        <w:rPr>
          <w:rFonts w:ascii="Arial" w:cs="Arial" w:eastAsia="Arial" w:hAnsi="Arial"/>
          <w:b/>
          <w:bCs/>
          <w:color w:val="1A1A1A"/>
          <w:sz w:val="22"/>
          <w:szCs w:val="22"/>
        </w:rPr>
        <w:t xml:space="preserve"> Younger populations have shown higher rates of early EV adoption in consumer surveys. Age distribution also correlates with technology adoption curves relevant to both EV uptake and willingness to use app-based charging networks.</w:t>
      </w:r>
      <w:r>
        <w:rPr>
          <w:rFonts w:ascii="Arial" w:cs="Arial" w:eastAsia="Arial" w:hAnsi="Arial"/>
          <w:color w:val="1A1A1A"/>
          <w:sz w:val="22"/>
          <w:szCs w:val="22"/>
        </w:rPr>
        <w:t xml:space="preserve">Median Age:</w:t>
      </w:r>
    </w:p>
    <w:p>
      <w:pPr>
        <w:pStyle w:val="ListParagraph"/>
        <w:numPr>
          <w:ilvl w:val="0"/>
          <w:numId w:val="2"/>
        </w:numPr>
        <w:spacing w:after="80" w:before="0"/>
      </w:pPr>
      <w:r>
        <w:rPr>
          <w:rFonts w:ascii="Arial" w:cs="Arial" w:eastAsia="Arial" w:hAnsi="Arial"/>
          <w:b/>
          <w:bCs/>
          <w:color w:val="1A1A1A"/>
          <w:sz w:val="22"/>
          <w:szCs w:val="22"/>
        </w:rPr>
        <w:t xml:space="preserve"> Higher educational attainment is associated with greater environmental awareness and earlier adoption of green technologies. This variable serves as a behavioral proxy for pro-environmental preference formation.</w:t>
      </w:r>
      <w:r>
        <w:rPr>
          <w:rFonts w:ascii="Arial" w:cs="Arial" w:eastAsia="Arial" w:hAnsi="Arial"/>
          <w:color w:val="1A1A1A"/>
          <w:sz w:val="22"/>
          <w:szCs w:val="22"/>
        </w:rPr>
        <w:t xml:space="preserve">Educational Attainment (Share with Bachelor's Degree or Higher):</w:t>
      </w:r>
    </w:p>
    <w:p>
      <w:pPr>
        <w:pStyle w:val="ListParagraph"/>
        <w:numPr>
          <w:ilvl w:val="0"/>
          <w:numId w:val="2"/>
        </w:numPr>
        <w:spacing w:after="80" w:before="0"/>
      </w:pPr>
      <w:r>
        <w:rPr>
          <w:rFonts w:ascii="Arial" w:cs="Arial" w:eastAsia="Arial" w:hAnsi="Arial"/>
          <w:b/>
          <w:bCs/>
          <w:color w:val="1A1A1A"/>
          <w:sz w:val="22"/>
          <w:szCs w:val="22"/>
        </w:rPr>
        <w:t xml:space="preserve"> Regions with higher concentrations of professional, technology, and knowledge economy workers tend to exhibit higher EV ownership rates, driven by both income levels and workplace culture around sustainability.</w:t>
      </w:r>
      <w:r>
        <w:rPr>
          <w:rFonts w:ascii="Arial" w:cs="Arial" w:eastAsia="Arial" w:hAnsi="Arial"/>
          <w:color w:val="1A1A1A"/>
          <w:sz w:val="22"/>
          <w:szCs w:val="22"/>
        </w:rPr>
        <w:t xml:space="preserve">Employment Sector Composition:</w:t>
      </w:r>
    </w:p>
    <w:p>
      <w:pPr>
        <w:pStyle w:val="Heading2"/>
        <w:spacing w:after="120" w:before="280"/>
      </w:pPr>
      <w:r>
        <w:rPr>
          <w:rFonts w:ascii="Arial" w:cs="Arial" w:eastAsia="Arial" w:hAnsi="Arial"/>
          <w:b/>
          <w:bCs/>
          <w:color w:val="1A1A1A"/>
          <w:sz w:val="24"/>
          <w:szCs w:val="24"/>
        </w:rPr>
        <w:t xml:space="preserve">4.2 Transportation and Commuting Variables</w:t>
      </w:r>
    </w:p>
    <w:p>
      <w:pPr>
        <w:spacing w:after="120" w:before="0"/>
        <w:jc w:val="both"/>
      </w:pPr>
      <w:r>
        <w:rPr>
          <w:rFonts w:ascii="Arial" w:cs="Arial" w:eastAsia="Arial" w:hAnsi="Arial"/>
          <w:color w:val="1A1A1A"/>
          <w:sz w:val="22"/>
          <w:szCs w:val="22"/>
        </w:rPr>
        <w:t xml:space="preserve">Commuting behavior determines when and how frequently a vehicle requires charging. Long-distance commuters deplete battery charge more rapidly and may require public charging during the workday. Departure time data offers insight into peak demand windows. The growth of remote work has introduced new spatial patterns in charging demand, shifting activity from workplace corridors to residential and amenity-rich environments.</w:t>
      </w:r>
    </w:p>
    <w:p>
      <w:pPr>
        <w:pStyle w:val="ListParagraph"/>
        <w:numPr>
          <w:ilvl w:val="0"/>
          <w:numId w:val="2"/>
        </w:numPr>
        <w:spacing w:after="80" w:before="0"/>
      </w:pPr>
      <w:r>
        <w:rPr>
          <w:rFonts w:ascii="Arial" w:cs="Arial" w:eastAsia="Arial" w:hAnsi="Arial"/>
          <w:b/>
          <w:bCs/>
          <w:color w:val="1A1A1A"/>
          <w:sz w:val="22"/>
          <w:szCs w:val="22"/>
        </w:rPr>
        <w:t xml:space="preserve"> The share of workers commuting by private vehicle determines baseline daily charging demand. Areas with high transit usage generate lower per-capita EV charging demand even when EV ownership is substantial.</w:t>
      </w:r>
      <w:r>
        <w:rPr>
          <w:rFonts w:ascii="Arial" w:cs="Arial" w:eastAsia="Arial" w:hAnsi="Arial"/>
          <w:color w:val="1A1A1A"/>
          <w:sz w:val="22"/>
          <w:szCs w:val="22"/>
        </w:rPr>
        <w:t xml:space="preserve">Transportation Mode to Work:</w:t>
      </w:r>
    </w:p>
    <w:p>
      <w:pPr>
        <w:pStyle w:val="ListParagraph"/>
        <w:numPr>
          <w:ilvl w:val="0"/>
          <w:numId w:val="2"/>
        </w:numPr>
        <w:spacing w:after="80" w:before="0"/>
      </w:pPr>
      <w:r>
        <w:rPr>
          <w:rFonts w:ascii="Arial" w:cs="Arial" w:eastAsia="Arial" w:hAnsi="Arial"/>
          <w:b/>
          <w:bCs/>
          <w:color w:val="1A1A1A"/>
          <w:sz w:val="22"/>
          <w:szCs w:val="22"/>
        </w:rPr>
        <w:t xml:space="preserve"> Longer commutes result in greater daily battery depletion, increasing the probability of mid-day or workplace charging needs. This variable is particularly relevant for understanding demand for Level 2 and DC Fast Charge infrastructure along commute corridors.</w:t>
      </w:r>
      <w:r>
        <w:rPr>
          <w:rFonts w:ascii="Arial" w:cs="Arial" w:eastAsia="Arial" w:hAnsi="Arial"/>
          <w:color w:val="1A1A1A"/>
          <w:sz w:val="22"/>
          <w:szCs w:val="22"/>
        </w:rPr>
        <w:t xml:space="preserve">Average Commute Distance or Time:</w:t>
      </w:r>
    </w:p>
    <w:p>
      <w:pPr>
        <w:pStyle w:val="ListParagraph"/>
        <w:numPr>
          <w:ilvl w:val="0"/>
          <w:numId w:val="2"/>
        </w:numPr>
        <w:spacing w:after="80" w:before="0"/>
      </w:pPr>
      <w:r>
        <w:rPr>
          <w:rFonts w:ascii="Arial" w:cs="Arial" w:eastAsia="Arial" w:hAnsi="Arial"/>
          <w:b/>
          <w:bCs/>
          <w:color w:val="1A1A1A"/>
          <w:sz w:val="22"/>
          <w:szCs w:val="22"/>
        </w:rPr>
        <w:t xml:space="preserve"> Departure time distributions provide insight into peak demand windows for workplace and corridor charging, particularly for stations located near employment centers or along major commute routes.</w:t>
      </w:r>
      <w:r>
        <w:rPr>
          <w:rFonts w:ascii="Arial" w:cs="Arial" w:eastAsia="Arial" w:hAnsi="Arial"/>
          <w:color w:val="1A1A1A"/>
          <w:sz w:val="22"/>
          <w:szCs w:val="22"/>
        </w:rPr>
        <w:t xml:space="preserve">Time of Departure for Work:</w:t>
      </w:r>
    </w:p>
    <w:p>
      <w:pPr>
        <w:pStyle w:val="ListParagraph"/>
        <w:numPr>
          <w:ilvl w:val="0"/>
          <w:numId w:val="2"/>
        </w:numPr>
        <w:spacing w:after="80" w:before="0"/>
      </w:pPr>
      <w:r>
        <w:rPr>
          <w:rFonts w:ascii="Arial" w:cs="Arial" w:eastAsia="Arial" w:hAnsi="Arial"/>
          <w:b/>
          <w:bCs/>
          <w:color w:val="1A1A1A"/>
          <w:sz w:val="22"/>
          <w:szCs w:val="22"/>
        </w:rPr>
        <w:t xml:space="preserve"> Remote workers shift public charging demand away from workplace-adjacent stations toward daytime amenity locations: shopping centers, gyms, libraries, and recreational areas. This variable is increasingly relevant following structural shifts in commuting behavior since 2020.</w:t>
      </w:r>
      <w:r>
        <w:rPr>
          <w:rFonts w:ascii="Arial" w:cs="Arial" w:eastAsia="Arial" w:hAnsi="Arial"/>
          <w:color w:val="1A1A1A"/>
          <w:sz w:val="22"/>
          <w:szCs w:val="22"/>
        </w:rPr>
        <w:t xml:space="preserve">Share of Workers Who Work From Home:</w:t>
      </w:r>
    </w:p>
    <w:p>
      <w:pPr>
        <w:pStyle w:val="Heading2"/>
        <w:spacing w:after="120" w:before="280"/>
      </w:pPr>
      <w:r>
        <w:rPr>
          <w:rFonts w:ascii="Arial" w:cs="Arial" w:eastAsia="Arial" w:hAnsi="Arial"/>
          <w:b/>
          <w:bCs/>
          <w:color w:val="1A1A1A"/>
          <w:sz w:val="24"/>
          <w:szCs w:val="24"/>
        </w:rPr>
        <w:t xml:space="preserve">4.3 Physical Infrastructure Variables</w:t>
      </w:r>
    </w:p>
    <w:p>
      <w:pPr>
        <w:spacing w:after="120" w:before="0"/>
        <w:jc w:val="both"/>
      </w:pPr>
      <w:r>
        <w:rPr>
          <w:rFonts w:ascii="Arial" w:cs="Arial" w:eastAsia="Arial" w:hAnsi="Arial"/>
          <w:color w:val="1A1A1A"/>
          <w:sz w:val="22"/>
          <w:szCs w:val="22"/>
        </w:rPr>
        <w:t xml:space="preserve">The built environment directly shapes both the demand for public charging and the locations where operators choose to deploy stations. Parking availability affects home charging feasibility. Highway proximity drives demand for fast charging from intercity travelers. Co-location with retail and dining establishments improves station utilization by allowing drivers to charge during time already spent at a destination.</w:t>
      </w:r>
    </w:p>
    <w:p>
      <w:pPr>
        <w:pStyle w:val="ListParagraph"/>
        <w:numPr>
          <w:ilvl w:val="0"/>
          <w:numId w:val="2"/>
        </w:numPr>
        <w:spacing w:after="80" w:before="0"/>
      </w:pPr>
      <w:r>
        <w:rPr>
          <w:rFonts w:ascii="Arial" w:cs="Arial" w:eastAsia="Arial" w:hAnsi="Arial"/>
          <w:b/>
          <w:bCs/>
          <w:color w:val="1A1A1A"/>
          <w:sz w:val="22"/>
          <w:szCs w:val="22"/>
        </w:rPr>
        <w:t xml:space="preserve"> The absence of private parking is a direct structural barrier to home charging. This variable is among the strongest predictors of public charging demand at the neighborhood level.</w:t>
      </w:r>
      <w:r>
        <w:rPr>
          <w:rFonts w:ascii="Arial" w:cs="Arial" w:eastAsia="Arial" w:hAnsi="Arial"/>
          <w:color w:val="1A1A1A"/>
          <w:sz w:val="22"/>
          <w:szCs w:val="22"/>
        </w:rPr>
        <w:t xml:space="preserve">Parking Availability (Share of Households Without Garage or Driveway):</w:t>
      </w:r>
    </w:p>
    <w:p>
      <w:pPr>
        <w:pStyle w:val="ListParagraph"/>
        <w:numPr>
          <w:ilvl w:val="0"/>
          <w:numId w:val="2"/>
        </w:numPr>
        <w:spacing w:after="80" w:before="0"/>
      </w:pPr>
      <w:r>
        <w:rPr>
          <w:rFonts w:ascii="Arial" w:cs="Arial" w:eastAsia="Arial" w:hAnsi="Arial"/>
          <w:b/>
          <w:bCs/>
          <w:color w:val="1A1A1A"/>
          <w:sz w:val="22"/>
          <w:szCs w:val="22"/>
        </w:rPr>
        <w:t xml:space="preserve"> High-traffic corridors generate demand for DC Fast Charging from both local EV owners and intercity travelers. Highway proximity also shapes operators' site selection decisions, as visible, accessible locations along travel routes improve expected utilization rates.</w:t>
      </w:r>
      <w:r>
        <w:rPr>
          <w:rFonts w:ascii="Arial" w:cs="Arial" w:eastAsia="Arial" w:hAnsi="Arial"/>
          <w:color w:val="1A1A1A"/>
          <w:sz w:val="22"/>
          <w:szCs w:val="22"/>
        </w:rPr>
        <w:t xml:space="preserve">Proximity to Highways and Major Roads:</w:t>
      </w:r>
    </w:p>
    <w:p>
      <w:pPr>
        <w:pStyle w:val="ListParagraph"/>
        <w:numPr>
          <w:ilvl w:val="0"/>
          <w:numId w:val="2"/>
        </w:numPr>
        <w:spacing w:after="80" w:before="0"/>
      </w:pPr>
      <w:r>
        <w:rPr>
          <w:rFonts w:ascii="Arial" w:cs="Arial" w:eastAsia="Arial" w:hAnsi="Arial"/>
          <w:b/>
          <w:bCs/>
          <w:color w:val="1A1A1A"/>
          <w:sz w:val="22"/>
          <w:szCs w:val="22"/>
        </w:rPr>
        <w:t xml:space="preserve"> EV charging stations are frequently co-located where drivers already spend time. High concentrations of shopping, dining, and services near a potential station site both attract demand and improve the economic case for network investment.</w:t>
      </w:r>
      <w:r>
        <w:rPr>
          <w:rFonts w:ascii="Arial" w:cs="Arial" w:eastAsia="Arial" w:hAnsi="Arial"/>
          <w:color w:val="1A1A1A"/>
          <w:sz w:val="22"/>
          <w:szCs w:val="22"/>
        </w:rPr>
        <w:t xml:space="preserve">Number of Retail, Dining, and Amenity Establishments Nearby:</w:t>
      </w:r>
    </w:p>
    <w:p>
      <w:pPr>
        <w:pStyle w:val="Heading2"/>
        <w:spacing w:after="120" w:before="280"/>
      </w:pPr>
      <w:r>
        <w:rPr>
          <w:rFonts w:ascii="Arial" w:cs="Arial" w:eastAsia="Arial" w:hAnsi="Arial"/>
          <w:b/>
          <w:bCs/>
          <w:color w:val="1A1A1A"/>
          <w:sz w:val="24"/>
          <w:szCs w:val="24"/>
        </w:rPr>
        <w:t xml:space="preserve">4.4 Energy and Environmental Variables</w:t>
      </w:r>
    </w:p>
    <w:p>
      <w:pPr>
        <w:spacing w:after="120" w:before="0"/>
        <w:jc w:val="both"/>
      </w:pPr>
      <w:r>
        <w:rPr>
          <w:rFonts w:ascii="Arial" w:cs="Arial" w:eastAsia="Arial" w:hAnsi="Arial"/>
          <w:color w:val="1A1A1A"/>
          <w:sz w:val="22"/>
          <w:szCs w:val="22"/>
        </w:rPr>
        <w:t xml:space="preserve">Electricity pricing affects both the cost of public charging and the relative attractiveness of home versus public charging for EV owners who have both options. Environmental conditions, measured through air quality indices, serve as a proxy for the regulatory and social pressure that drives EV adoption policy at the regional level.</w:t>
      </w:r>
    </w:p>
    <w:p>
      <w:pPr>
        <w:pStyle w:val="ListParagraph"/>
        <w:numPr>
          <w:ilvl w:val="0"/>
          <w:numId w:val="2"/>
        </w:numPr>
        <w:spacing w:after="80" w:before="0"/>
      </w:pPr>
      <w:r>
        <w:rPr>
          <w:rFonts w:ascii="Arial" w:cs="Arial" w:eastAsia="Arial" w:hAnsi="Arial"/>
          <w:b/>
          <w:bCs/>
          <w:color w:val="1A1A1A"/>
          <w:sz w:val="22"/>
          <w:szCs w:val="22"/>
        </w:rPr>
        <w:t xml:space="preserve"> Higher electricity costs reduce the cost advantage of EVs over combustion vehicles and may discourage frequent public charging among cost-sensitive consumers. Regional price variation also affects the profitability of charging network operations, influencing supply-side investment decisions.</w:t>
      </w:r>
      <w:r>
        <w:rPr>
          <w:rFonts w:ascii="Arial" w:cs="Arial" w:eastAsia="Arial" w:hAnsi="Arial"/>
          <w:color w:val="1A1A1A"/>
          <w:sz w:val="22"/>
          <w:szCs w:val="22"/>
        </w:rPr>
        <w:t xml:space="preserve">Electricity Prices by Region:</w:t>
      </w:r>
    </w:p>
    <w:p>
      <w:pPr>
        <w:pStyle w:val="ListParagraph"/>
        <w:numPr>
          <w:ilvl w:val="0"/>
          <w:numId w:val="2"/>
        </w:numPr>
        <w:spacing w:after="80" w:before="0"/>
      </w:pPr>
      <w:r>
        <w:rPr>
          <w:rFonts w:ascii="Arial" w:cs="Arial" w:eastAsia="Arial" w:hAnsi="Arial"/>
          <w:b/>
          <w:bCs/>
          <w:color w:val="1A1A1A"/>
          <w:sz w:val="22"/>
          <w:szCs w:val="22"/>
        </w:rPr>
        <w:t xml:space="preserve"> Areas with chronically poor air quality are more likely to be subject to strong state and local EV adoption incentives, zero-emission vehicle mandates, and infrastructure subsidies. AQI is used as a proxy variable for policy pressure intensity, which in turn affects both EV adoption rates and public charging supply.</w:t>
      </w:r>
      <w:r>
        <w:rPr>
          <w:rFonts w:ascii="Arial" w:cs="Arial" w:eastAsia="Arial" w:hAnsi="Arial"/>
          <w:color w:val="1A1A1A"/>
          <w:sz w:val="22"/>
          <w:szCs w:val="22"/>
        </w:rPr>
        <w:t xml:space="preserve">Air Quality Index (AQI):</w:t>
      </w:r>
    </w:p>
    <w:p>
      <w:pPr>
        <w:pStyle w:val="Heading2"/>
        <w:spacing w:after="120" w:before="280"/>
      </w:pPr>
      <w:r>
        <w:rPr>
          <w:rFonts w:ascii="Arial" w:cs="Arial" w:eastAsia="Arial" w:hAnsi="Arial"/>
          <w:b/>
          <w:bCs/>
          <w:color w:val="1A1A1A"/>
          <w:sz w:val="24"/>
          <w:szCs w:val="24"/>
        </w:rPr>
        <w:t xml:space="preserve">4.5 Policy and Incentive Variables</w:t>
      </w:r>
    </w:p>
    <w:p>
      <w:pPr>
        <w:spacing w:after="120" w:before="0"/>
        <w:jc w:val="both"/>
      </w:pPr>
      <w:r>
        <w:rPr>
          <w:rFonts w:ascii="Arial" w:cs="Arial" w:eastAsia="Arial" w:hAnsi="Arial"/>
          <w:color w:val="1A1A1A"/>
          <w:sz w:val="22"/>
          <w:szCs w:val="22"/>
        </w:rPr>
        <w:t xml:space="preserve">Policy interventions operate on both sides of the supply-demand equation. Consumer-facing incentives such as purchase rebates and tax credits directly stimulate EV adoption and thus charging demand. Supply-side subsidies and mandates accelerate network deployment by reducing operator costs and regulatory barriers. The presence and generosity of local and state policy programs is therefore a critical control variable in any model of charging infrastructure distribution.</w:t>
      </w:r>
    </w:p>
    <w:p>
      <w:pPr>
        <w:pStyle w:val="ListParagraph"/>
        <w:numPr>
          <w:ilvl w:val="0"/>
          <w:numId w:val="2"/>
        </w:numPr>
        <w:spacing w:after="80" w:before="0"/>
      </w:pPr>
      <w:r>
        <w:rPr>
          <w:rFonts w:ascii="Arial" w:cs="Arial" w:eastAsia="Arial" w:hAnsi="Arial"/>
          <w:b/>
          <w:bCs/>
          <w:color w:val="1A1A1A"/>
          <w:sz w:val="22"/>
          <w:szCs w:val="22"/>
        </w:rPr>
        <w:t xml:space="preserve"> Rebates and tax credits reduce the effective purchase price of electric vehicles, accelerating adoption timelines and expanding the income range of households likely to own EVs. These programs directly influence the size and geographic distribution of the EV fleet that generates charging demand.</w:t>
      </w:r>
      <w:r>
        <w:rPr>
          <w:rFonts w:ascii="Arial" w:cs="Arial" w:eastAsia="Arial" w:hAnsi="Arial"/>
          <w:color w:val="1A1A1A"/>
          <w:sz w:val="22"/>
          <w:szCs w:val="22"/>
        </w:rPr>
        <w:t xml:space="preserve">Local and State EV Purchase Incentives:</w:t>
      </w:r>
    </w:p>
    <w:p>
      <w:pPr>
        <w:pStyle w:val="ListParagraph"/>
        <w:numPr>
          <w:ilvl w:val="0"/>
          <w:numId w:val="2"/>
        </w:numPr>
        <w:spacing w:after="80" w:before="0"/>
      </w:pPr>
      <w:r>
        <w:rPr>
          <w:rFonts w:ascii="Arial" w:cs="Arial" w:eastAsia="Arial" w:hAnsi="Arial"/>
          <w:b/>
          <w:bCs/>
          <w:color w:val="1A1A1A"/>
          <w:sz w:val="22"/>
          <w:szCs w:val="22"/>
        </w:rPr>
        <w:t xml:space="preserve"> Jurisdictions with binding carbon reduction targets or zero-emission vehicle fleet requirements tend to prioritize EV infrastructure investment in both public sector procurement and land use regulation. This variable captures the policy environment's effect on both supply-side network buildout and demand-side adoption incentives.</w:t>
      </w:r>
      <w:r>
        <w:rPr>
          <w:rFonts w:ascii="Arial" w:cs="Arial" w:eastAsia="Arial" w:hAnsi="Arial"/>
          <w:color w:val="1A1A1A"/>
          <w:sz w:val="22"/>
          <w:szCs w:val="22"/>
        </w:rPr>
        <w:t xml:space="preserve">Clean Energy Mandates and Sustainability Commitments:</w:t>
      </w:r>
    </w:p>
    <w:p>
      <w:pPr>
        <w:pStyle w:val="ListParagraph"/>
        <w:numPr>
          <w:ilvl w:val="0"/>
          <w:numId w:val="2"/>
        </w:numPr>
        <w:spacing w:after="80" w:before="0"/>
      </w:pPr>
      <w:r>
        <w:rPr>
          <w:rFonts w:ascii="Arial" w:cs="Arial" w:eastAsia="Arial" w:hAnsi="Arial"/>
          <w:b/>
          <w:bCs/>
          <w:color w:val="1A1A1A"/>
          <w:sz w:val="22"/>
          <w:szCs w:val="22"/>
        </w:rPr>
        <w:t xml:space="preserve"> Direct financial support for charging station installation reduces operator capital costs and lowers the utilization threshold required for profitability, enabling deployment in areas where demand alone would not justify private investment.</w:t>
      </w:r>
      <w:r>
        <w:rPr>
          <w:rFonts w:ascii="Arial" w:cs="Arial" w:eastAsia="Arial" w:hAnsi="Arial"/>
          <w:color w:val="1A1A1A"/>
          <w:sz w:val="22"/>
          <w:szCs w:val="22"/>
        </w:rPr>
        <w:t xml:space="preserve">Charger Installation Subsidies and Grants:</w:t>
      </w:r>
    </w:p>
    <w:p>
      <w:pPr>
        <w:pStyle w:val="Heading2"/>
        <w:spacing w:after="120" w:before="280"/>
      </w:pPr>
      <w:r>
        <w:rPr>
          <w:rFonts w:ascii="Arial" w:cs="Arial" w:eastAsia="Arial" w:hAnsi="Arial"/>
          <w:b/>
          <w:bCs/>
          <w:color w:val="1A1A1A"/>
          <w:sz w:val="24"/>
          <w:szCs w:val="24"/>
        </w:rPr>
        <w:t xml:space="preserve">4.6 Behavioral and Activity Variables</w:t>
      </w:r>
    </w:p>
    <w:p>
      <w:pPr>
        <w:spacing w:after="120" w:before="0"/>
        <w:jc w:val="both"/>
      </w:pPr>
      <w:r>
        <w:rPr>
          <w:rFonts w:ascii="Arial" w:cs="Arial" w:eastAsia="Arial" w:hAnsi="Arial"/>
          <w:color w:val="1A1A1A"/>
          <w:sz w:val="22"/>
          <w:szCs w:val="22"/>
        </w:rPr>
        <w:t xml:space="preserve">Consumer behavior patterns, independent of vehicle ownership, shape the spatial distribution of charging demand. Tourism and visitation generate transient demand in areas that may not have high local EV ownership. Vehicle ownership rates provide a baseline measure of car culture intensity, which in turn affects EV adoption rates and the expected density of charging demand.</w:t>
      </w:r>
    </w:p>
    <w:p>
      <w:pPr>
        <w:pStyle w:val="ListParagraph"/>
        <w:numPr>
          <w:ilvl w:val="0"/>
          <w:numId w:val="2"/>
        </w:numPr>
        <w:spacing w:after="80" w:before="0"/>
      </w:pPr>
      <w:r>
        <w:rPr>
          <w:rFonts w:ascii="Arial" w:cs="Arial" w:eastAsia="Arial" w:hAnsi="Arial"/>
          <w:b/>
          <w:bCs/>
          <w:color w:val="1A1A1A"/>
          <w:sz w:val="22"/>
          <w:szCs w:val="22"/>
        </w:rPr>
        <w:t xml:space="preserve"> High-traffic destinations such as coastal areas, state parks, urban entertainment districts, and shopping centers generate substantial transient charging demand from EV-owning visitors. This variable helps explain the presence of charging stations in locations where local EV ownership may be relatively low.</w:t>
      </w:r>
      <w:r>
        <w:rPr>
          <w:rFonts w:ascii="Arial" w:cs="Arial" w:eastAsia="Arial" w:hAnsi="Arial"/>
          <w:color w:val="1A1A1A"/>
          <w:sz w:val="22"/>
          <w:szCs w:val="22"/>
        </w:rPr>
        <w:t xml:space="preserve">Tourism and Visitation Rates:</w:t>
      </w:r>
    </w:p>
    <w:p>
      <w:pPr>
        <w:pStyle w:val="ListParagraph"/>
        <w:numPr>
          <w:ilvl w:val="0"/>
          <w:numId w:val="2"/>
        </w:numPr>
        <w:spacing w:after="80" w:before="0"/>
      </w:pPr>
      <w:r>
        <w:rPr>
          <w:rFonts w:ascii="Arial" w:cs="Arial" w:eastAsia="Arial" w:hAnsi="Arial"/>
          <w:b/>
          <w:bCs/>
          <w:color w:val="1A1A1A"/>
          <w:sz w:val="22"/>
          <w:szCs w:val="22"/>
        </w:rPr>
        <w:t xml:space="preserve"> This metric serves as a baseline for car ownership intensity and a direct proxy for EV adoption potential. Areas with high per-capita vehicle registration rates are more likely to see substantial EV uptake as the technology matures and prices decline.</w:t>
      </w:r>
      <w:r>
        <w:rPr>
          <w:rFonts w:ascii="Arial" w:cs="Arial" w:eastAsia="Arial" w:hAnsi="Arial"/>
          <w:color w:val="1A1A1A"/>
          <w:sz w:val="22"/>
          <w:szCs w:val="22"/>
        </w:rPr>
        <w:t xml:space="preserve">Number of Registered Vehicles Per Capita:</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5. Behavioral Economic Dimensions</w:t>
      </w:r>
    </w:p>
    <w:p>
      <w:pPr>
        <w:spacing w:after="120" w:before="0"/>
        <w:jc w:val="both"/>
      </w:pPr>
      <w:r>
        <w:rPr>
          <w:rFonts w:ascii="Arial" w:cs="Arial" w:eastAsia="Arial" w:hAnsi="Arial"/>
          <w:color w:val="1A1A1A"/>
          <w:sz w:val="22"/>
          <w:szCs w:val="22"/>
        </w:rPr>
        <w:t xml:space="preserve">The standard economic model of EV charging assumes that consumers respond rationally to price signals, selecting stations based on cost, proximity, and availability. Empirical evidence and behavioral economic theory suggest a more complex picture. Three behavioral mechanisms are particularly relevant to this analysis.</w:t>
      </w:r>
    </w:p>
    <w:p>
      <w:pPr>
        <w:spacing w:after="80" w:before="220"/>
      </w:pPr>
      <w:r>
        <w:rPr>
          <w:rFonts w:ascii="Arial" w:cs="Arial" w:eastAsia="Arial" w:hAnsi="Arial"/>
          <w:b/>
          <w:bCs/>
          <w:color w:val="3D6E96"/>
          <w:sz w:val="22"/>
          <w:szCs w:val="22"/>
        </w:rPr>
        <w:t xml:space="preserve">5.1 Rational Inattention</w:t>
      </w:r>
    </w:p>
    <w:p>
      <w:pPr>
        <w:spacing w:after="120" w:before="0"/>
        <w:jc w:val="both"/>
      </w:pPr>
      <w:r>
        <w:rPr>
          <w:rFonts w:ascii="Arial" w:cs="Arial" w:eastAsia="Arial" w:hAnsi="Arial"/>
          <w:color w:val="1A1A1A"/>
          <w:sz w:val="22"/>
          <w:szCs w:val="22"/>
        </w:rPr>
        <w:t xml:space="preserve">Rational inattention theory, developed by Sims (2003) and extended in subsequent literature, proposes that consumers face cognitive costs in processing information. When the mental cost of evaluating price differences across charging stations exceeds the expected financial benefit of switching, consumers rationally ignore price signals. This behavior has direct implications for the relationship between price transparency and charging station utilization. Even where dynamic pricing data is publicly available, consumers may default to habitual station choices, reducing the effectiveness of price-based demand management strategies.</w:t>
      </w:r>
    </w:p>
    <w:p>
      <w:pPr>
        <w:spacing w:after="80" w:before="220"/>
      </w:pPr>
      <w:r>
        <w:rPr>
          <w:rFonts w:ascii="Arial" w:cs="Arial" w:eastAsia="Arial" w:hAnsi="Arial"/>
          <w:b/>
          <w:bCs/>
          <w:color w:val="3D6E96"/>
          <w:sz w:val="22"/>
          <w:szCs w:val="22"/>
        </w:rPr>
        <w:t xml:space="preserve">5.2 Price Salience and Nudging</w:t>
      </w:r>
    </w:p>
    <w:p>
      <w:pPr>
        <w:spacing w:after="120" w:before="0"/>
        <w:jc w:val="both"/>
      </w:pPr>
      <w:r>
        <w:rPr>
          <w:rFonts w:ascii="Arial" w:cs="Arial" w:eastAsia="Arial" w:hAnsi="Arial"/>
          <w:color w:val="1A1A1A"/>
          <w:sz w:val="22"/>
          <w:szCs w:val="22"/>
        </w:rPr>
        <w:t xml:space="preserve">The salience of pricing information significantly affects consumer response. Research in behavioral economics demonstrates that the framing, visual prominence, and timing of price information influences whether consumers actually incorporate it into their decisions. In the context of EV charging, interventions such as green visual indicators for low-price periods, roadside signage, and in-app notifications represent attempts to make price information more salient at the moment of decision. However, these nudges may have limited effectiveness for habitual behaviors, where the decision of where to charge is made automatically rather than deliberatively.</w:t>
      </w:r>
    </w:p>
    <w:p>
      <w:pPr>
        <w:spacing w:after="120" w:before="0"/>
        <w:jc w:val="both"/>
      </w:pPr>
      <w:r>
        <w:rPr>
          <w:rFonts w:ascii="Arial" w:cs="Arial" w:eastAsia="Arial" w:hAnsi="Arial"/>
          <w:color w:val="1A1A1A"/>
          <w:sz w:val="22"/>
          <w:szCs w:val="22"/>
        </w:rPr>
        <w:t xml:space="preserve">This analysis examines variation in consumer response to pricing signals across demographic groups, with the hypothesis that higher-income and higher-education populations are more likely to engage in deliberate station selection, while lower-income populations may show greater price responsiveness due to budget constraints overriding habitual behavior.</w:t>
      </w:r>
    </w:p>
    <w:p>
      <w:pPr>
        <w:spacing w:after="80" w:before="220"/>
      </w:pPr>
      <w:r>
        <w:rPr>
          <w:rFonts w:ascii="Arial" w:cs="Arial" w:eastAsia="Arial" w:hAnsi="Arial"/>
          <w:b/>
          <w:bCs/>
          <w:color w:val="3D6E96"/>
          <w:sz w:val="22"/>
          <w:szCs w:val="22"/>
        </w:rPr>
        <w:t xml:space="preserve">5.3 Market Competition and Strategic Pricing</w:t>
      </w:r>
    </w:p>
    <w:p>
      <w:pPr>
        <w:spacing w:after="120" w:before="0"/>
        <w:jc w:val="both"/>
      </w:pPr>
      <w:r>
        <w:rPr>
          <w:rFonts w:ascii="Arial" w:cs="Arial" w:eastAsia="Arial" w:hAnsi="Arial"/>
          <w:color w:val="1A1A1A"/>
          <w:sz w:val="22"/>
          <w:szCs w:val="22"/>
        </w:rPr>
        <w:t xml:space="preserve">Charging network operators adapt their pricing strategies in response to consumer behavioral patterns. Where consumers exhibit rational inattention or strong habit formation, operators face reduced competitive pressure to lower prices, even in markets with multiple providers. This dynamic can contribute to persistently high public charging costs in areas where behavioral factors reduce price sensitivity, potentially undermining the cost advantage of EV ownership for drivers without home charging access.</w:t>
      </w:r>
    </w:p>
    <w:p>
      <w:pPr>
        <w:spacing w:after="120" w:before="0"/>
        <w:jc w:val="both"/>
      </w:pPr>
      <w:r>
        <w:rPr>
          <w:rFonts w:ascii="Arial" w:cs="Arial" w:eastAsia="Arial" w:hAnsi="Arial"/>
          <w:color w:val="1A1A1A"/>
          <w:sz w:val="22"/>
          <w:szCs w:val="22"/>
        </w:rPr>
        <w:t xml:space="preserve">The interaction between price transparency policy, consumer behavior, and firm pricing strategy represents a key area of investigation in this research, with implications for both consumer welfare and the design of charging market regulation.</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6. Methodology Overview</w:t>
      </w:r>
    </w:p>
    <w:p>
      <w:pPr>
        <w:spacing w:after="120" w:before="0"/>
        <w:jc w:val="both"/>
      </w:pPr>
      <w:r>
        <w:rPr>
          <w:rFonts w:ascii="Arial" w:cs="Arial" w:eastAsia="Arial" w:hAnsi="Arial"/>
          <w:color w:val="1A1A1A"/>
          <w:sz w:val="22"/>
          <w:szCs w:val="22"/>
        </w:rPr>
        <w:t xml:space="preserve">The empirical analysis proceeds in three stages. First, raw DMV vehicle registration data is processed using an R-based pipeline to generate zip-code-level metrics for EV ownership, vehicle type distribution, and plug type compatibility. This dataset is merged with Census ACS variables and infrastructure data to construct a comprehensive cross-sectional dataset at the zip code level.</w:t>
      </w:r>
    </w:p>
    <w:p>
      <w:pPr>
        <w:spacing w:after="120" w:before="0"/>
        <w:jc w:val="both"/>
      </w:pPr>
      <w:r>
        <w:rPr>
          <w:rFonts w:ascii="Arial" w:cs="Arial" w:eastAsia="Arial" w:hAnsi="Arial"/>
          <w:color w:val="1A1A1A"/>
          <w:sz w:val="22"/>
          <w:szCs w:val="22"/>
        </w:rPr>
        <w:t xml:space="preserve">Second, regression-based models are estimated to identify the independent contribution of each variable category to observed variation in public charging demand and supply. Models are estimated separately for demand-side outcomes (public charging utilization rates, station visits per EV owner) and supply-side outcomes (number of public charging ports per capita, network operator investment rates). Spatial autocorrelation is addressed through the inclusion of geographic fixed effects and spatially lagged dependent variables.</w:t>
      </w:r>
    </w:p>
    <w:p>
      <w:pPr>
        <w:spacing w:after="120" w:before="0"/>
        <w:jc w:val="both"/>
      </w:pPr>
      <w:r>
        <w:rPr>
          <w:rFonts w:ascii="Arial" w:cs="Arial" w:eastAsia="Arial" w:hAnsi="Arial"/>
          <w:color w:val="1A1A1A"/>
          <w:sz w:val="22"/>
          <w:szCs w:val="22"/>
        </w:rPr>
        <w:t xml:space="preserve">Third, behavioral hypotheses regarding rational inattention and price responsiveness are tested using variation in local price transparency policy and pricing data from charging network operators. The analysis examines whether areas with more prominent price signaling show evidence of greater consumer price sensitivity in station selection behavior.</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7. Expected Contributions</w:t>
      </w:r>
    </w:p>
    <w:p>
      <w:pPr>
        <w:spacing w:after="120" w:before="0"/>
        <w:jc w:val="both"/>
      </w:pPr>
      <w:r>
        <w:rPr>
          <w:rFonts w:ascii="Arial" w:cs="Arial" w:eastAsia="Arial" w:hAnsi="Arial"/>
          <w:color w:val="1A1A1A"/>
          <w:sz w:val="22"/>
          <w:szCs w:val="22"/>
        </w:rPr>
        <w:t xml:space="preserve">This research makes several contributions to the literature on EV infrastructure planning and behavioral economics. First, it provides a systematic variable framework that integrates supply-side, demand-side, and behavioral dimensions into a single analytical structure, offering a more complete account of infrastructure misalignment than models focused solely on EV ownership counts.</w:t>
      </w:r>
    </w:p>
    <w:p>
      <w:pPr>
        <w:spacing w:after="120" w:before="0"/>
        <w:jc w:val="both"/>
      </w:pPr>
      <w:r>
        <w:rPr>
          <w:rFonts w:ascii="Arial" w:cs="Arial" w:eastAsia="Arial" w:hAnsi="Arial"/>
          <w:color w:val="1A1A1A"/>
          <w:sz w:val="22"/>
          <w:szCs w:val="22"/>
        </w:rPr>
        <w:t xml:space="preserve">Second, by connecting quantitative geographic analysis to behavioral economic theory, this research highlights the limitations of purely price-based approaches to demand management and suggests that infrastructure planning must account for the cognitive and behavioral factors that shape how consumers actually interact with public charging networks.</w:t>
      </w:r>
    </w:p>
    <w:p>
      <w:pPr>
        <w:spacing w:after="120" w:before="0"/>
        <w:jc w:val="both"/>
      </w:pPr>
      <w:r>
        <w:rPr>
          <w:rFonts w:ascii="Arial" w:cs="Arial" w:eastAsia="Arial" w:hAnsi="Arial"/>
          <w:color w:val="1A1A1A"/>
          <w:sz w:val="22"/>
          <w:szCs w:val="22"/>
        </w:rPr>
        <w:t xml:space="preserve">Third, the zip-code-level granularity of the analysis enables identification of specific community types that are systematically underserved by existing infrastructure, providing a basis for more targeted and equitable investment strategies.</w:t>
      </w:r>
    </w:p>
    <w:p>
      <w:pPr>
        <w:pBdr>
          <w:bottom w:val="single" w:color="DDDDDD" w:sz="4" w:space="1"/>
        </w:pBdr>
        <w:spacing w:after="120" w:before="120"/>
      </w:pPr>
    </w:p>
    <w:p>
      <w:pPr>
        <w:pStyle w:val="Heading1"/>
        <w:spacing w:after="160" w:before="360"/>
      </w:pPr>
      <w:r>
        <w:rPr>
          <w:rFonts w:ascii="Arial" w:cs="Arial" w:eastAsia="Arial" w:hAnsi="Arial"/>
          <w:b/>
          <w:bCs/>
          <w:color w:val="3D6E96"/>
          <w:sz w:val="28"/>
          <w:szCs w:val="28"/>
        </w:rPr>
        <w:t xml:space="preserve">8. Selected References</w:t>
      </w:r>
    </w:p>
    <w:p>
      <w:pPr>
        <w:spacing w:after="120" w:before="0"/>
        <w:jc w:val="both"/>
      </w:pPr>
      <w:r>
        <w:rPr>
          <w:rFonts w:ascii="Arial" w:cs="Arial" w:eastAsia="Arial" w:hAnsi="Arial"/>
          <w:color w:val="1A1A1A"/>
          <w:sz w:val="22"/>
          <w:szCs w:val="22"/>
        </w:rPr>
        <w:t xml:space="preserve">Banerjee, A. V., and Duflo, E. (2011). Poor Economics: A Radical Rethinking of the Way to Fight Global Poverty. PublicAffairs.</w:t>
      </w:r>
    </w:p>
    <w:p>
      <w:pPr>
        <w:spacing w:after="120" w:before="0"/>
        <w:jc w:val="both"/>
      </w:pPr>
      <w:r>
        <w:rPr>
          <w:rFonts w:ascii="Arial" w:cs="Arial" w:eastAsia="Arial" w:hAnsi="Arial"/>
          <w:color w:val="1A1A1A"/>
          <w:sz w:val="22"/>
          <w:szCs w:val="22"/>
        </w:rPr>
        <w:t xml:space="preserve">Sims, C. A. (2003). Implications of rational inattention. Journal of Monetary Economics, 50(3), 665-690.</w:t>
      </w:r>
    </w:p>
    <w:p>
      <w:pPr>
        <w:spacing w:after="120" w:before="0"/>
        <w:jc w:val="both"/>
      </w:pPr>
      <w:r>
        <w:rPr>
          <w:rFonts w:ascii="Arial" w:cs="Arial" w:eastAsia="Arial" w:hAnsi="Arial"/>
          <w:color w:val="1A1A1A"/>
          <w:sz w:val="22"/>
          <w:szCs w:val="22"/>
        </w:rPr>
        <w:t xml:space="preserve">Thaler, R. H., and Sunstein, C. R. (2008). Nudge: Improving Decisions About Health, Wealth, and Happiness. Yale University Press.</w:t>
      </w:r>
    </w:p>
    <w:p>
      <w:pPr>
        <w:spacing w:after="120" w:before="0"/>
        <w:jc w:val="both"/>
      </w:pPr>
      <w:r>
        <w:rPr>
          <w:rFonts w:ascii="Arial" w:cs="Arial" w:eastAsia="Arial" w:hAnsi="Arial"/>
          <w:color w:val="1A1A1A"/>
          <w:sz w:val="22"/>
          <w:szCs w:val="22"/>
        </w:rPr>
        <w:t xml:space="preserve">U.S. Department of Energy. (2024). Alternative Fuels Station Locator. Alternative Fuels Data Center.</w:t>
      </w:r>
    </w:p>
    <w:p>
      <w:pPr>
        <w:spacing w:after="120" w:before="0"/>
        <w:jc w:val="both"/>
      </w:pPr>
      <w:r>
        <w:rPr>
          <w:rFonts w:ascii="Arial" w:cs="Arial" w:eastAsia="Arial" w:hAnsi="Arial"/>
          <w:color w:val="1A1A1A"/>
          <w:sz w:val="22"/>
          <w:szCs w:val="22"/>
        </w:rPr>
        <w:t xml:space="preserve">U.S. Census Bureau. (2023). American Community Survey 5-Year Estimates. United States Census Bureau.</w:t>
      </w:r>
    </w:p>
    <w:p>
      <w:pPr>
        <w:spacing w:after="120" w:before="0"/>
        <w:jc w:val="both"/>
      </w:pPr>
      <w:r>
        <w:rPr>
          <w:rFonts w:ascii="Arial" w:cs="Arial" w:eastAsia="Arial" w:hAnsi="Arial"/>
          <w:color w:val="1A1A1A"/>
          <w:sz w:val="22"/>
          <w:szCs w:val="22"/>
        </w:rPr>
        <w:t xml:space="preserve">California Air Resources Board. (2024). Advanced Clean Cars II Regulation. California Environmental Protection Agency.</w:t>
      </w:r>
    </w:p>
    <w:p>
      <w:pPr>
        <w:spacing w:after="120" w:before="0"/>
        <w:jc w:val="both"/>
      </w:pPr>
      <w:r>
        <w:rPr>
          <w:rFonts w:ascii="Arial" w:cs="Arial" w:eastAsia="Arial" w:hAnsi="Arial"/>
          <w:color w:val="1A1A1A"/>
          <w:sz w:val="22"/>
          <w:szCs w:val="22"/>
        </w:rPr>
        <w:t xml:space="preserve">Nicholas, M., and Tal, G. (2020). Home Charging and its Role in Electric Vehicle Adoption. UC Davis Institute of Transportation Studies.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spacing w:after="0" w:before="80"/>
    </w:pPr>
    <w:r>
      <w:rPr>
        <w:rFonts w:ascii="Arial" w:cs="Arial" w:eastAsia="Arial" w:hAnsi="Arial"/>
        <w:color w:val="666666"/>
        <w:sz w:val="18"/>
        <w:szCs w:val="18"/>
      </w:rPr>
      <w:t xml:space="preserve">Shifany Arul Brabhaher  |  shifanyarul@gmail.com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spacing w:after="80" w:before="0"/>
    </w:pPr>
    <w:r>
      <w:rPr>
        <w:rFonts w:ascii="Arial" w:cs="Arial" w:eastAsia="Arial" w:hAnsi="Arial"/>
        <w:color w:val="666666"/>
        <w:sz w:val="18"/>
        <w:szCs w:val="18"/>
      </w:rPr>
      <w:t xml:space="preserve">EV Charging Infrastructure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3D6E96"/>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2026-06-11T04:51:19.546Z</dcterms:created>
  <dcterms:modified xsi:type="dcterms:W3CDTF">2026-06-11T04:51:19.562Z</dcterms:modified>
</cp:coreProperties>
</file>

<file path=docProps/custom.xml><?xml version="1.0" encoding="utf-8"?>
<Properties xmlns="http://schemas.openxmlformats.org/officeDocument/2006/custom-properties" xmlns:vt="http://schemas.openxmlformats.org/officeDocument/2006/docPropsVTypes"/>
</file>