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3D0" w14:paraId="6C678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78F03" w14:textId="77777777" w:rsidR="00B423D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TRUE NORTH CIVIL CONSTRUCTION LTD.</w:t>
            </w:r>
          </w:p>
          <w:p w14:paraId="6C678F04" w14:textId="77777777" w:rsidR="00B423D0" w:rsidRDefault="00000000">
            <w:pPr>
              <w:tabs>
                <w:tab w:val="right" w:pos="9040"/>
              </w:tabs>
            </w:pPr>
            <w:r>
              <w:rPr>
                <w:rFonts w:ascii="Calibri" w:eastAsia="Calibri" w:hAnsi="Calibri" w:cs="Calibri"/>
                <w:b/>
                <w:bCs/>
                <w:color w:val="C8851A"/>
                <w:sz w:val="16"/>
                <w:szCs w:val="16"/>
              </w:rPr>
              <w:t xml:space="preserve">EQUITY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8851A"/>
                <w:sz w:val="16"/>
                <w:szCs w:val="16"/>
              </w:rPr>
              <w:t>OFFERING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8851A"/>
                <w:sz w:val="16"/>
                <w:szCs w:val="16"/>
              </w:rPr>
              <w:t xml:space="preserve">  TEAR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8851A"/>
                <w:sz w:val="16"/>
                <w:szCs w:val="16"/>
              </w:rPr>
              <w:t>SHEET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8851A"/>
                <w:sz w:val="16"/>
                <w:szCs w:val="16"/>
              </w:rPr>
              <w:t xml:space="preserve">  MARCH 2026</w:t>
            </w:r>
            <w:r>
              <w:rPr>
                <w:rFonts w:ascii="Calibri" w:eastAsia="Calibri" w:hAnsi="Calibri" w:cs="Calibri"/>
                <w:color w:val="C8D4E8"/>
                <w:sz w:val="15"/>
                <w:szCs w:val="15"/>
              </w:rPr>
              <w:tab/>
              <w:t>CONFIDENTIAL</w:t>
            </w:r>
          </w:p>
        </w:tc>
      </w:tr>
    </w:tbl>
    <w:p w14:paraId="6C678F06" w14:textId="77777777" w:rsidR="00B423D0" w:rsidRDefault="00B423D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B423D0" w14:paraId="6C678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A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07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TRANSACTION OVERVIEW</w:t>
            </w:r>
          </w:p>
        </w:tc>
      </w:tr>
      <w:tr w:rsidR="00B423D0" w14:paraId="6C678F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09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OFFERING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0A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$1,000,000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Equity  |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 25% Stake</w:t>
            </w:r>
          </w:p>
        </w:tc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0B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TARGET CLOSE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0C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Q2 2026</w:t>
            </w:r>
          </w:p>
        </w:tc>
      </w:tr>
      <w:tr w:rsidR="00B423D0" w14:paraId="6C678F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0E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STRUCTURE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0F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Owner $500K + Investor $500K equity; non-dilutive land &amp; building refinancing as third leg</w:t>
            </w:r>
          </w:p>
        </w:tc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0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JURISDICTION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1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BC registered; Northern BC operations</w:t>
            </w:r>
          </w:p>
        </w:tc>
      </w:tr>
      <w:tr w:rsidR="00B423D0" w14:paraId="6C678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3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USE OF PROCEEDS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4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Equipment $350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K  |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 Working capital $100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K  |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 Integration &amp; reserves $150K</w:t>
            </w:r>
          </w:p>
        </w:tc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5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2027E EV RANGE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6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$7.7M–$10.5M (5.5×–7.5× EBITDA)</w:t>
            </w:r>
          </w:p>
        </w:tc>
      </w:tr>
      <w:tr w:rsidR="00B423D0" w14:paraId="6C678F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8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FORM OF INVESTMENT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9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Common equity; Board seat; quarterly reporting; right of first refusal on secondary transfers</w:t>
            </w:r>
          </w:p>
        </w:tc>
        <w:tc>
          <w:tcPr>
            <w:tcW w:w="20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A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C3557"/>
                <w:sz w:val="15"/>
                <w:szCs w:val="15"/>
              </w:rPr>
              <w:t>INVESTOR RETURN</w:t>
            </w:r>
          </w:p>
        </w:tc>
        <w:tc>
          <w:tcPr>
            <w:tcW w:w="268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1B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~3.9×–5.2× on $500K (Base–Upside, 2027E exit)</w:t>
            </w:r>
          </w:p>
        </w:tc>
      </w:tr>
    </w:tbl>
    <w:p w14:paraId="6C678F1D" w14:textId="77777777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INVESTMENT HIGHLIGHTS</w:t>
      </w:r>
    </w:p>
    <w:p w14:paraId="6C678F1E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Sole integrated civil platform in Northern BC — civil + quarry + fabrication + marine + engineering under unified management</w:t>
      </w:r>
    </w:p>
    <w:p w14:paraId="6C678F1F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Proprietary aggregate supply moat: JHW quarry with decades-long reserves; 5–10+ year replacement timelines preclude new entrants</w:t>
      </w:r>
    </w:p>
    <w:p w14:paraId="6C678F20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Vertical margin capture: PSM Fabrication retains 20–40% of installed project cost; standalone EBITDA target mid-to-high teens</w:t>
      </w:r>
    </w:p>
    <w:p w14:paraId="6C678F21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Revenue CAGR ~25% (2025–2027E); EBITDA margin expansion ~190bps to 17.9%; Net Cash Flow CAGR ~47%</w:t>
      </w:r>
    </w:p>
    <w:p w14:paraId="6C678F22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Conservative Base Case: awarded &amp; highly visible work only — no probability-weighted pipeline; structural downside protection</w:t>
      </w:r>
    </w:p>
    <w:p w14:paraId="6C678F23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2025 geopolitical catalyst: Canada trade realignment driving est. $80–125B accelerated Western Canadian infrastructure investment</w:t>
      </w:r>
    </w:p>
    <w:p w14:paraId="6C678F24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Seasoned management team; established surety/bonding track record; First Nation and regional government relationships in place</w:t>
      </w:r>
    </w:p>
    <w:p w14:paraId="6C678F25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Entry at formation-stage discount; platform multiple migration to market comps (5.5×–7.5× EBITDA) as EBITDA scales</w:t>
      </w:r>
    </w:p>
    <w:p w14:paraId="6C678F26" w14:textId="77777777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 xml:space="preserve">SELECTED FINANCIAL </w:t>
      </w:r>
      <w:proofErr w:type="gramStart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DATA  (</w:t>
      </w:r>
      <w:proofErr w:type="gramEnd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C$000s)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650"/>
        <w:gridCol w:w="1650"/>
        <w:gridCol w:w="1650"/>
        <w:gridCol w:w="1650"/>
      </w:tblGrid>
      <w:tr w:rsidR="00B423D0" w14:paraId="6C678F2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27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METRIC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28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2025A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29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2026E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2A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2027E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2B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CAGR '25–'27</w:t>
            </w:r>
          </w:p>
        </w:tc>
      </w:tr>
      <w:tr w:rsidR="00B423D0" w14:paraId="6C678F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2D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Revenue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2E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$5,000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2F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$6,300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0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$7,800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1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~25%</w:t>
            </w:r>
          </w:p>
        </w:tc>
      </w:tr>
      <w:tr w:rsidR="00B423D0" w14:paraId="6C678F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3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Gross Profit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4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$1,400 (28.0%)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5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$1,890 (30.0%)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6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$2,430 (31.2%)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7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+320bps</w:t>
            </w:r>
          </w:p>
        </w:tc>
      </w:tr>
      <w:tr w:rsidR="00B423D0" w14:paraId="6C678F3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9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EBITDA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A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$800 (16.0%)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B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$1,050 (16.7%)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C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$1,400 (17.9%)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D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+190bps</w:t>
            </w:r>
          </w:p>
        </w:tc>
      </w:tr>
      <w:tr w:rsidR="00B423D0" w14:paraId="6C678F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3F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Net Cash Flow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40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$450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41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$680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42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$970</w:t>
            </w:r>
          </w:p>
        </w:tc>
        <w:tc>
          <w:tcPr>
            <w:tcW w:w="165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43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~47%</w:t>
            </w:r>
          </w:p>
        </w:tc>
      </w:tr>
    </w:tbl>
    <w:p w14:paraId="6C678F4A" w14:textId="77777777" w:rsidR="00B423D0" w:rsidRDefault="00B423D0"/>
    <w:p w14:paraId="6C678F4B" w14:textId="77777777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 xml:space="preserve">OPERATING </w:t>
      </w:r>
      <w:proofErr w:type="gramStart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PLATFORM  —</w:t>
      </w:r>
      <w:proofErr w:type="gramEnd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 xml:space="preserve">  FIVE OPERATING COMPANIES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760"/>
        <w:gridCol w:w="1600"/>
        <w:gridCol w:w="1600"/>
      </w:tblGrid>
      <w:tr w:rsidR="00B423D0" w14:paraId="6C678F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4C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COMPANY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4D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CAPABILITY</w:t>
            </w:r>
          </w:p>
        </w:tc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4E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STRATEGIC ROLE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4F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2027E REVENUE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50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EBITDA PROFILE</w:t>
            </w:r>
          </w:p>
        </w:tc>
      </w:tr>
      <w:tr w:rsidR="00B423D0" w14:paraId="6C678F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2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True North Civil</w:t>
            </w:r>
          </w:p>
        </w:tc>
        <w:tc>
          <w:tcPr>
            <w:tcW w:w="2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3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Heavy civil, earthworks, site prep, utilities, road construction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4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Platform anchor; baseload civil revenue engine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5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~$3.5M (~45%)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6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Mid-teens</w:t>
            </w:r>
          </w:p>
        </w:tc>
      </w:tr>
      <w:tr w:rsidR="00B423D0" w14:paraId="6C678F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8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JHW Holdings</w:t>
            </w:r>
          </w:p>
        </w:tc>
        <w:tc>
          <w:tcPr>
            <w:tcW w:w="2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9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Quarry ops — crushed stone, gravel, sand; decade-plus reserves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A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Proprietary cost moat; 5–10+ yr replacement lead time in region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B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~$1.2M (~15%)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C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Low-mid teens</w:t>
            </w:r>
          </w:p>
        </w:tc>
      </w:tr>
      <w:tr w:rsidR="00B423D0" w14:paraId="6C678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E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PSM Fabrication</w:t>
            </w:r>
          </w:p>
        </w:tc>
        <w:tc>
          <w:tcPr>
            <w:tcW w:w="2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5F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Structural steel fabrication &amp; coatings; 20–40% of total installed cost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0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Margin recapture; standalone mid-to-high-teens EBITDA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1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~$1.8M (~23%)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2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Mid-high teens</w:t>
            </w:r>
          </w:p>
        </w:tc>
      </w:tr>
      <w:tr w:rsidR="00B423D0" w14:paraId="6C678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4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PSM Marine</w:t>
            </w:r>
          </w:p>
        </w:tc>
        <w:tc>
          <w:tcPr>
            <w:tcW w:w="2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5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Marine access, barge ops, coastal/remote site logistics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6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Enables remote project access; geographic differentiator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7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~$0.8M (~10%)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8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High-single/low-teens</w:t>
            </w:r>
          </w:p>
        </w:tc>
      </w:tr>
      <w:tr w:rsidR="00B423D0" w14:paraId="6C678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A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Integrated Utilities</w:t>
            </w:r>
          </w:p>
        </w:tc>
        <w:tc>
          <w:tcPr>
            <w:tcW w:w="2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B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Engineering services, project coordination, utility integration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C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Bid elevation — transforms civil bids to full-scope packages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D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~$0.5M (~7%)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6E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Low (platform leverage)</w:t>
            </w:r>
          </w:p>
        </w:tc>
      </w:tr>
      <w:tr w:rsidR="00B423D0" w14:paraId="6C678F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0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1" w14:textId="77777777" w:rsidR="00B423D0" w:rsidRDefault="00B423D0"/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2" w14:textId="77777777" w:rsidR="00B423D0" w:rsidRDefault="00B423D0"/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3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~$7.8M (100%)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4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~17.9% blended</w:t>
            </w:r>
          </w:p>
        </w:tc>
      </w:tr>
    </w:tbl>
    <w:p w14:paraId="0FD1E7A4" w14:textId="77777777" w:rsidR="00C84097" w:rsidRDefault="00C84097">
      <w:pPr>
        <w:pBdr>
          <w:bottom w:val="single" w:sz="4" w:space="0" w:color="C8851A"/>
        </w:pBdr>
        <w:spacing w:before="140" w:after="50"/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</w:pPr>
    </w:p>
    <w:p w14:paraId="53C52B9B" w14:textId="77777777" w:rsidR="00C84097" w:rsidRDefault="00C84097">
      <w:pPr>
        <w:pBdr>
          <w:bottom w:val="single" w:sz="4" w:space="0" w:color="C8851A"/>
        </w:pBdr>
        <w:spacing w:before="140" w:after="50"/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</w:pPr>
    </w:p>
    <w:p w14:paraId="6C678F76" w14:textId="24814F74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lastRenderedPageBreak/>
        <w:t>PROPOSED CAPITAL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960"/>
        <w:gridCol w:w="3600"/>
      </w:tblGrid>
      <w:tr w:rsidR="00B423D0" w14:paraId="6C678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77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LAYER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78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AMOUNT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79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INSTRUMENT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7A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KEY TERMS</w:t>
            </w:r>
          </w:p>
        </w:tc>
      </w:tr>
      <w:tr w:rsidR="00B423D0" w14:paraId="6C678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C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Owner Equity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D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$500K</w:t>
            </w:r>
          </w:p>
        </w:tc>
        <w:tc>
          <w:tcPr>
            <w:tcW w:w="19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E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Common — 75%</w:t>
            </w:r>
          </w:p>
        </w:tc>
        <w:tc>
          <w:tcPr>
            <w:tcW w:w="3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7F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Operational control; President + Board representation</w:t>
            </w:r>
          </w:p>
        </w:tc>
      </w:tr>
      <w:tr w:rsidR="00B423D0" w14:paraId="6C678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1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Investor Equity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2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$500K</w:t>
            </w:r>
          </w:p>
        </w:tc>
        <w:tc>
          <w:tcPr>
            <w:tcW w:w="19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3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Common — 25%</w:t>
            </w:r>
          </w:p>
        </w:tc>
        <w:tc>
          <w:tcPr>
            <w:tcW w:w="3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4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Board seat; quarterly financials; ROFR on secondary transfers</w:t>
            </w:r>
          </w:p>
        </w:tc>
      </w:tr>
      <w:tr w:rsidR="00B423D0" w14:paraId="6C678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6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Asset-Backed Refi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7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TBD</w:t>
            </w:r>
          </w:p>
        </w:tc>
        <w:tc>
          <w:tcPr>
            <w:tcW w:w="19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8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Non-Dilutive Debt</w:t>
            </w:r>
          </w:p>
        </w:tc>
        <w:tc>
          <w:tcPr>
            <w:tcW w:w="3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9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Land &amp; building security; proceeds supplement equipment + WC alongside equity close</w:t>
            </w:r>
          </w:p>
        </w:tc>
      </w:tr>
      <w:tr w:rsidR="00B423D0" w14:paraId="6C678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B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Operating Credit</w:t>
            </w:r>
          </w:p>
        </w:tc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C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Revolver</w:t>
            </w:r>
          </w:p>
        </w:tc>
        <w:tc>
          <w:tcPr>
            <w:tcW w:w="19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D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Senior Secured</w:t>
            </w:r>
          </w:p>
        </w:tc>
        <w:tc>
          <w:tcPr>
            <w:tcW w:w="3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8E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Seasonal working capital; bid-bond support; sized to cover Q1 trough</w:t>
            </w:r>
          </w:p>
        </w:tc>
      </w:tr>
    </w:tbl>
    <w:p w14:paraId="4E16E4F3" w14:textId="77777777" w:rsidR="00C84097" w:rsidRDefault="00C84097"/>
    <w:p w14:paraId="6C678F96" w14:textId="77777777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 xml:space="preserve">MARKET </w:t>
      </w:r>
      <w:proofErr w:type="gramStart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OPPORTUNITY  —</w:t>
      </w:r>
      <w:proofErr w:type="gramEnd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 xml:space="preserve">  NORTHERN BC CIVIL INFRASTRUCTURE</w:t>
      </w:r>
    </w:p>
    <w:p w14:paraId="6C678F97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Northern BC addressable civil market: $5–30M standard packages; $10–50M+ integrated multi-trade packages</w:t>
      </w:r>
    </w:p>
    <w:p w14:paraId="6C678F98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2025 Canada trade policy realignment → est. $80–125B accelerated resource &amp; infrastructure investment in Western Canada (2025–2030)</w:t>
      </w:r>
    </w:p>
    <w:p w14:paraId="6C678F99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Active demand drivers: LNG Canada Phase 2, Site C downstream grid, mining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recapitalisation</w:t>
      </w:r>
      <w:proofErr w:type="spellEnd"/>
      <w:r>
        <w:rPr>
          <w:rFonts w:ascii="Calibri" w:eastAsia="Calibri" w:hAnsi="Calibri" w:cs="Calibri"/>
          <w:color w:val="1A1A1A"/>
          <w:sz w:val="17"/>
          <w:szCs w:val="17"/>
        </w:rPr>
        <w:t xml:space="preserve"> (copper, gold, critical minerals), municipal capital plans</w:t>
      </w:r>
    </w:p>
    <w:p w14:paraId="6C678F9A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Regional capacity constraint: fewer than three qualified </w:t>
      </w:r>
      <w:proofErr w:type="gramStart"/>
      <w:r>
        <w:rPr>
          <w:rFonts w:ascii="Calibri" w:eastAsia="Calibri" w:hAnsi="Calibri" w:cs="Calibri"/>
          <w:color w:val="1A1A1A"/>
          <w:sz w:val="17"/>
          <w:szCs w:val="17"/>
        </w:rPr>
        <w:t>fully-integrated</w:t>
      </w:r>
      <w:proofErr w:type="gramEnd"/>
      <w:r>
        <w:rPr>
          <w:rFonts w:ascii="Calibri" w:eastAsia="Calibri" w:hAnsi="Calibri" w:cs="Calibri"/>
          <w:color w:val="1A1A1A"/>
          <w:sz w:val="17"/>
          <w:szCs w:val="17"/>
        </w:rPr>
        <w:t xml:space="preserve"> civil platforms currently operating in Northern BC corridor</w:t>
      </w:r>
    </w:p>
    <w:p w14:paraId="6C678F9B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Integrated package differentiation: civil + aggregates + fabrication + marine bundled — structural barrier to outside competitor entry</w:t>
      </w:r>
    </w:p>
    <w:p w14:paraId="6C678F9C" w14:textId="77777777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COMPETITIVE DIFFERENTIATION</w:t>
      </w:r>
    </w:p>
    <w:p w14:paraId="6C678F9D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Only platform combining civil + proprietary quarry + fabrication + marine + engineering under single management in Northern BC</w:t>
      </w:r>
    </w:p>
    <w:p w14:paraId="6C678F9E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JHW quarry moat: decades-long reserves; 5–10+ year permitting &amp; replacement timeline for any competitor attempting to replicate</w:t>
      </w:r>
    </w:p>
    <w:p w14:paraId="6C678F9F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Established bonding track record, equipment inventory, and First Nation / regional government relationships built over years</w:t>
      </w:r>
    </w:p>
    <w:p w14:paraId="6C678FA0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Win rates: 10–15% on competitive open tenders; materially higher on negotiated and relationship-sourced integrated scopes</w:t>
      </w:r>
    </w:p>
    <w:p w14:paraId="62200CED" w14:textId="77777777" w:rsidR="00C84097" w:rsidRDefault="00C84097">
      <w:pPr>
        <w:pBdr>
          <w:bottom w:val="single" w:sz="4" w:space="0" w:color="C8851A"/>
        </w:pBdr>
        <w:spacing w:before="140" w:after="50"/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</w:pPr>
    </w:p>
    <w:p w14:paraId="6C678FA1" w14:textId="09D8ED9B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 xml:space="preserve">VALUATION </w:t>
      </w:r>
      <w:proofErr w:type="gramStart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FRAMEWORK  —</w:t>
      </w:r>
      <w:proofErr w:type="gramEnd"/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 xml:space="preserve">  2027E EBITDA OF $1.40M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40"/>
        <w:gridCol w:w="1640"/>
        <w:gridCol w:w="1640"/>
        <w:gridCol w:w="2240"/>
      </w:tblGrid>
      <w:tr w:rsidR="00B423D0" w14:paraId="6C678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A2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SCENARIO</w:t>
            </w:r>
          </w:p>
        </w:tc>
        <w:tc>
          <w:tcPr>
            <w:tcW w:w="1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A3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EV / EBITDA</w:t>
            </w:r>
          </w:p>
        </w:tc>
        <w:tc>
          <w:tcPr>
            <w:tcW w:w="1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A4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IMPLIED EV</w:t>
            </w:r>
          </w:p>
        </w:tc>
        <w:tc>
          <w:tcPr>
            <w:tcW w:w="1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A5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25% EQUITY VALUE</w:t>
            </w:r>
          </w:p>
        </w:tc>
        <w:tc>
          <w:tcPr>
            <w:tcW w:w="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A6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RETURN ON $500K</w:t>
            </w:r>
          </w:p>
        </w:tc>
      </w:tr>
      <w:tr w:rsidR="00B423D0" w14:paraId="6C678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A8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Conservative (low comp)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A9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5.5×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AA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$7.7M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AB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$1.93M</w:t>
            </w:r>
          </w:p>
        </w:tc>
        <w:tc>
          <w:tcPr>
            <w:tcW w:w="22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AC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~3.9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×  MOIC</w:t>
            </w:r>
            <w:proofErr w:type="gramEnd"/>
          </w:p>
        </w:tc>
      </w:tr>
      <w:tr w:rsidR="00B423D0" w14:paraId="6C678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AE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Base (mid comp)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AF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6.5×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0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$9.1M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1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$2.28M</w:t>
            </w:r>
          </w:p>
        </w:tc>
        <w:tc>
          <w:tcPr>
            <w:tcW w:w="22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2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~4.5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×  MOIC</w:t>
            </w:r>
            <w:proofErr w:type="gramEnd"/>
          </w:p>
        </w:tc>
      </w:tr>
      <w:tr w:rsidR="00B423D0" w14:paraId="6C678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4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Upside (high comp)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5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7.5×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6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$10.5M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7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$2.63M</w:t>
            </w:r>
          </w:p>
        </w:tc>
        <w:tc>
          <w:tcPr>
            <w:tcW w:w="22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8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~5.2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×  MOIC</w:t>
            </w:r>
            <w:proofErr w:type="gramEnd"/>
          </w:p>
        </w:tc>
      </w:tr>
      <w:tr w:rsidR="00B423D0" w14:paraId="6C678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A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PSM Standalone Premium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B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7.0×–9.0×+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C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Additive</w:t>
            </w:r>
          </w:p>
        </w:tc>
        <w:tc>
          <w:tcPr>
            <w:tcW w:w="16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D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Incremental uplift</w:t>
            </w:r>
          </w:p>
        </w:tc>
        <w:tc>
          <w:tcPr>
            <w:tcW w:w="224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BE" w14:textId="77777777" w:rsidR="00B423D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Sum-of-parts optionality</w:t>
            </w:r>
          </w:p>
        </w:tc>
      </w:tr>
    </w:tbl>
    <w:p w14:paraId="6C678FC0" w14:textId="77777777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KEY RISK FACTORS</w:t>
      </w:r>
    </w:p>
    <w:p w14:paraId="6C678FC1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Seasonality: Q2–Q3 represents ~65–70% of annual revenue; partially mitigated by year-round fabrication and aggregate crushing</w:t>
      </w:r>
    </w:p>
    <w:p w14:paraId="6C678FC2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Project concentration: Base Case revenue from awarded/confirmed work only — quarterly cash flow subject to large-project timing</w:t>
      </w:r>
    </w:p>
    <w:p w14:paraId="6C678FC3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JHW legacy liabilities: structurally ring-fenced within JHW legal entity; no impairment to broader platform operating flexibility</w:t>
      </w:r>
    </w:p>
    <w:p w14:paraId="6C678FC4" w14:textId="77777777" w:rsidR="00B423D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17"/>
          <w:szCs w:val="17"/>
        </w:rPr>
        <w:t>Bonding/surety capacity: equipment and real property collateral base supports line growth; proactive broker relationship maintained</w:t>
      </w:r>
    </w:p>
    <w:p w14:paraId="6C678FC5" w14:textId="77777777" w:rsidR="00B423D0" w:rsidRDefault="00000000">
      <w:pPr>
        <w:pBdr>
          <w:bottom w:val="single" w:sz="4" w:space="0" w:color="C8851A"/>
        </w:pBdr>
        <w:spacing w:before="140" w:after="50"/>
      </w:pPr>
      <w:r>
        <w:rPr>
          <w:rFonts w:ascii="Calibri" w:eastAsia="Calibri" w:hAnsi="Calibri" w:cs="Calibri"/>
          <w:b/>
          <w:bCs/>
          <w:caps/>
          <w:color w:val="1C3557"/>
          <w:sz w:val="15"/>
          <w:szCs w:val="15"/>
        </w:rPr>
        <w:t>IMPLEMENTATION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60"/>
        <w:gridCol w:w="3600"/>
        <w:gridCol w:w="2400"/>
      </w:tblGrid>
      <w:tr w:rsidR="00B423D0" w14:paraId="6C678F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C6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PHASE</w:t>
            </w:r>
          </w:p>
        </w:tc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C7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TIMELINE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C8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KEY MILESTONES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C678FC9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TARGETS</w:t>
            </w:r>
          </w:p>
        </w:tc>
      </w:tr>
      <w:tr w:rsidR="00B423D0" w14:paraId="6C678F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CB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I — Consolidate &amp; Equip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CC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0–12 months</w:t>
            </w:r>
          </w:p>
        </w:tc>
        <w:tc>
          <w:tcPr>
            <w:tcW w:w="3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CD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Equipment deployed; asset refi closed; unified reporting across 5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OpCos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; OCF facility in place</w:t>
            </w:r>
          </w:p>
        </w:tc>
        <w:tc>
          <w:tcPr>
            <w:tcW w:w="24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CE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Rev $5.0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  |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 EBITDA $0.80M</w:t>
            </w:r>
          </w:p>
        </w:tc>
      </w:tr>
      <w:tr w:rsidR="00B423D0" w14:paraId="6C678F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0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II — Scale &amp; Integrate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1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12–24 months</w:t>
            </w:r>
          </w:p>
        </w:tc>
        <w:tc>
          <w:tcPr>
            <w:tcW w:w="3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2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PSM fabrication &gt;70%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utilisation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; IU engineering revenue ramp; expanded bid pipeline; Phase II plan approved by Board</w:t>
            </w:r>
          </w:p>
        </w:tc>
        <w:tc>
          <w:tcPr>
            <w:tcW w:w="24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3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Rev $6.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3M  |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 EBITDA $1.05M</w:t>
            </w:r>
          </w:p>
        </w:tc>
      </w:tr>
      <w:tr w:rsidR="00B423D0" w14:paraId="6C678F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5" w14:textId="77777777" w:rsidR="00B423D0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III — Platform Optionality</w:t>
            </w:r>
          </w:p>
        </w:tc>
        <w:tc>
          <w:tcPr>
            <w:tcW w:w="176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6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24–36+ months</w:t>
            </w:r>
          </w:p>
        </w:tc>
        <w:tc>
          <w:tcPr>
            <w:tcW w:w="36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7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Tuck-in acquisition evaluation; PSM external client growth; quarry expansion review; institutional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recapitalisation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/ exit positioning</w:t>
            </w:r>
          </w:p>
        </w:tc>
        <w:tc>
          <w:tcPr>
            <w:tcW w:w="2400" w:type="dxa"/>
            <w:tcBorders>
              <w:top w:val="single" w:sz="1" w:space="0" w:color="D0D8E4"/>
              <w:left w:val="none" w:sz="0" w:space="0" w:color="FFFFFF"/>
              <w:bottom w:val="single" w:sz="1" w:space="0" w:color="D0D8E4"/>
              <w:right w:val="none" w:sz="0" w:space="0" w:color="FFFFFF"/>
            </w:tcBorders>
            <w:shd w:val="clear" w:color="auto" w:fill="F0F3F7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678FD8" w14:textId="77777777" w:rsidR="00B423D0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Rev $7.8M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+  |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 EBITDA $1.4M+</w:t>
            </w:r>
          </w:p>
        </w:tc>
      </w:tr>
    </w:tbl>
    <w:p w14:paraId="6C678FDA" w14:textId="77777777" w:rsidR="00381EBA" w:rsidRDefault="00381EBA"/>
    <w:sectPr w:rsidR="00381EBA">
      <w:footerReference w:type="default" r:id="rId10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2ACF" w14:textId="77777777" w:rsidR="00381EBA" w:rsidRDefault="00381EBA">
      <w:r>
        <w:separator/>
      </w:r>
    </w:p>
  </w:endnote>
  <w:endnote w:type="continuationSeparator" w:id="0">
    <w:p w14:paraId="4225CB9B" w14:textId="77777777" w:rsidR="00381EBA" w:rsidRDefault="00381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78FDC" w14:textId="77777777" w:rsidR="00B423D0" w:rsidRDefault="00000000">
    <w:pPr>
      <w:pBdr>
        <w:top w:val="single" w:sz="3" w:space="0" w:color="C8851A"/>
      </w:pBdr>
      <w:tabs>
        <w:tab w:val="right" w:pos="9026"/>
      </w:tabs>
      <w:spacing w:before="60"/>
    </w:pPr>
    <w:r>
      <w:rPr>
        <w:rFonts w:ascii="Calibri" w:eastAsia="Calibri" w:hAnsi="Calibri" w:cs="Calibri"/>
        <w:b/>
        <w:bCs/>
        <w:color w:val="1C3557"/>
        <w:sz w:val="14"/>
        <w:szCs w:val="14"/>
      </w:rPr>
      <w:t>TRUE NORTH CIVIL CONSTRUCTION LTD.</w:t>
    </w:r>
    <w:r>
      <w:rPr>
        <w:rFonts w:ascii="Calibri" w:eastAsia="Calibri" w:hAnsi="Calibri" w:cs="Calibri"/>
        <w:color w:val="8B94A3"/>
        <w:sz w:val="14"/>
        <w:szCs w:val="14"/>
      </w:rPr>
      <w:t xml:space="preserve">   |   Tear </w:t>
    </w:r>
    <w:proofErr w:type="gramStart"/>
    <w:r>
      <w:rPr>
        <w:rFonts w:ascii="Calibri" w:eastAsia="Calibri" w:hAnsi="Calibri" w:cs="Calibri"/>
        <w:color w:val="8B94A3"/>
        <w:sz w:val="14"/>
        <w:szCs w:val="14"/>
      </w:rPr>
      <w:t>Sheet  |</w:t>
    </w:r>
    <w:proofErr w:type="gramEnd"/>
    <w:r>
      <w:rPr>
        <w:rFonts w:ascii="Calibri" w:eastAsia="Calibri" w:hAnsi="Calibri" w:cs="Calibri"/>
        <w:color w:val="8B94A3"/>
        <w:sz w:val="14"/>
        <w:szCs w:val="14"/>
      </w:rPr>
      <w:t xml:space="preserve">  March </w:t>
    </w:r>
    <w:proofErr w:type="gramStart"/>
    <w:r>
      <w:rPr>
        <w:rFonts w:ascii="Calibri" w:eastAsia="Calibri" w:hAnsi="Calibri" w:cs="Calibri"/>
        <w:color w:val="8B94A3"/>
        <w:sz w:val="14"/>
        <w:szCs w:val="14"/>
      </w:rPr>
      <w:t>2026  |</w:t>
    </w:r>
    <w:proofErr w:type="gramEnd"/>
    <w:r>
      <w:rPr>
        <w:rFonts w:ascii="Calibri" w:eastAsia="Calibri" w:hAnsi="Calibri" w:cs="Calibri"/>
        <w:color w:val="8B94A3"/>
        <w:sz w:val="14"/>
        <w:szCs w:val="14"/>
      </w:rPr>
      <w:t xml:space="preserve">  STRICTLY CONFIDENTIAL — FOR ACCREDITED INVESTORS ONLY</w:t>
    </w:r>
    <w:r>
      <w:rPr>
        <w:rFonts w:ascii="Calibri" w:eastAsia="Calibri" w:hAnsi="Calibri" w:cs="Calibri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01C5E" w14:textId="77777777" w:rsidR="00381EBA" w:rsidRDefault="00381EBA">
      <w:r>
        <w:separator/>
      </w:r>
    </w:p>
  </w:footnote>
  <w:footnote w:type="continuationSeparator" w:id="0">
    <w:p w14:paraId="18B8262C" w14:textId="77777777" w:rsidR="00381EBA" w:rsidRDefault="00381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530FD"/>
    <w:multiLevelType w:val="hybridMultilevel"/>
    <w:tmpl w:val="0F2A0BCC"/>
    <w:lvl w:ilvl="0" w:tplc="E5324180">
      <w:start w:val="1"/>
      <w:numFmt w:val="bullet"/>
      <w:lvlText w:val="●"/>
      <w:lvlJc w:val="left"/>
      <w:pPr>
        <w:ind w:left="720" w:hanging="360"/>
      </w:pPr>
    </w:lvl>
    <w:lvl w:ilvl="1" w:tplc="519C3A70">
      <w:start w:val="1"/>
      <w:numFmt w:val="bullet"/>
      <w:lvlText w:val="○"/>
      <w:lvlJc w:val="left"/>
      <w:pPr>
        <w:ind w:left="1440" w:hanging="360"/>
      </w:pPr>
    </w:lvl>
    <w:lvl w:ilvl="2" w:tplc="5AD2C2D4">
      <w:start w:val="1"/>
      <w:numFmt w:val="bullet"/>
      <w:lvlText w:val="■"/>
      <w:lvlJc w:val="left"/>
      <w:pPr>
        <w:ind w:left="2160" w:hanging="360"/>
      </w:pPr>
    </w:lvl>
    <w:lvl w:ilvl="3" w:tplc="CACA2BB4">
      <w:start w:val="1"/>
      <w:numFmt w:val="bullet"/>
      <w:lvlText w:val="●"/>
      <w:lvlJc w:val="left"/>
      <w:pPr>
        <w:ind w:left="2880" w:hanging="360"/>
      </w:pPr>
    </w:lvl>
    <w:lvl w:ilvl="4" w:tplc="FBA47020">
      <w:start w:val="1"/>
      <w:numFmt w:val="bullet"/>
      <w:lvlText w:val="○"/>
      <w:lvlJc w:val="left"/>
      <w:pPr>
        <w:ind w:left="3600" w:hanging="360"/>
      </w:pPr>
    </w:lvl>
    <w:lvl w:ilvl="5" w:tplc="09DED3E6">
      <w:start w:val="1"/>
      <w:numFmt w:val="bullet"/>
      <w:lvlText w:val="■"/>
      <w:lvlJc w:val="left"/>
      <w:pPr>
        <w:ind w:left="4320" w:hanging="360"/>
      </w:pPr>
    </w:lvl>
    <w:lvl w:ilvl="6" w:tplc="9FDE73C2">
      <w:start w:val="1"/>
      <w:numFmt w:val="bullet"/>
      <w:lvlText w:val="●"/>
      <w:lvlJc w:val="left"/>
      <w:pPr>
        <w:ind w:left="5040" w:hanging="360"/>
      </w:pPr>
    </w:lvl>
    <w:lvl w:ilvl="7" w:tplc="353E01AE">
      <w:start w:val="1"/>
      <w:numFmt w:val="bullet"/>
      <w:lvlText w:val="●"/>
      <w:lvlJc w:val="left"/>
      <w:pPr>
        <w:ind w:left="5760" w:hanging="360"/>
      </w:pPr>
    </w:lvl>
    <w:lvl w:ilvl="8" w:tplc="B1B2A6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16902"/>
    <w:multiLevelType w:val="hybridMultilevel"/>
    <w:tmpl w:val="75B2BCF6"/>
    <w:lvl w:ilvl="0" w:tplc="A9B0780E">
      <w:start w:val="1"/>
      <w:numFmt w:val="bullet"/>
      <w:lvlText w:val="•"/>
      <w:lvlJc w:val="left"/>
      <w:pPr>
        <w:ind w:left="320" w:hanging="200"/>
      </w:pPr>
    </w:lvl>
    <w:lvl w:ilvl="1" w:tplc="4E5EF200">
      <w:numFmt w:val="decimal"/>
      <w:lvlText w:val=""/>
      <w:lvlJc w:val="left"/>
    </w:lvl>
    <w:lvl w:ilvl="2" w:tplc="ADEA86B6">
      <w:numFmt w:val="decimal"/>
      <w:lvlText w:val=""/>
      <w:lvlJc w:val="left"/>
    </w:lvl>
    <w:lvl w:ilvl="3" w:tplc="79DA1596">
      <w:numFmt w:val="decimal"/>
      <w:lvlText w:val=""/>
      <w:lvlJc w:val="left"/>
    </w:lvl>
    <w:lvl w:ilvl="4" w:tplc="644C463E">
      <w:numFmt w:val="decimal"/>
      <w:lvlText w:val=""/>
      <w:lvlJc w:val="left"/>
    </w:lvl>
    <w:lvl w:ilvl="5" w:tplc="122EE4CA">
      <w:numFmt w:val="decimal"/>
      <w:lvlText w:val=""/>
      <w:lvlJc w:val="left"/>
    </w:lvl>
    <w:lvl w:ilvl="6" w:tplc="D91A4446">
      <w:numFmt w:val="decimal"/>
      <w:lvlText w:val=""/>
      <w:lvlJc w:val="left"/>
    </w:lvl>
    <w:lvl w:ilvl="7" w:tplc="9CFC127E">
      <w:numFmt w:val="decimal"/>
      <w:lvlText w:val=""/>
      <w:lvlJc w:val="left"/>
    </w:lvl>
    <w:lvl w:ilvl="8" w:tplc="E7400D8A">
      <w:numFmt w:val="decimal"/>
      <w:lvlText w:val=""/>
      <w:lvlJc w:val="left"/>
    </w:lvl>
  </w:abstractNum>
  <w:num w:numId="1" w16cid:durableId="705495629">
    <w:abstractNumId w:val="0"/>
    <w:lvlOverride w:ilvl="0">
      <w:startOverride w:val="1"/>
    </w:lvlOverride>
  </w:num>
  <w:num w:numId="2" w16cid:durableId="2006731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3D0"/>
    <w:rsid w:val="00381EBA"/>
    <w:rsid w:val="00B423D0"/>
    <w:rsid w:val="00C84097"/>
    <w:rsid w:val="00FF0832"/>
    <w:rsid w:val="00FF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78F03"/>
  <w15:docId w15:val="{D1B59CA6-2A67-AC47-BC2C-619CCDAB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BC31DACF2C704D84F727256B35AEF6" ma:contentTypeVersion="16" ma:contentTypeDescription="Create a new document." ma:contentTypeScope="" ma:versionID="83a689465ef56cfcf29e40d1413e3711">
  <xsd:schema xmlns:xsd="http://www.w3.org/2001/XMLSchema" xmlns:xs="http://www.w3.org/2001/XMLSchema" xmlns:p="http://schemas.microsoft.com/office/2006/metadata/properties" xmlns:ns2="fb13db88-1a75-4cb0-9923-f9d96091edce" xmlns:ns3="404a6dcf-ea68-44c3-bc25-293bdc65133a" targetNamespace="http://schemas.microsoft.com/office/2006/metadata/properties" ma:root="true" ma:fieldsID="ce11d308fa6e0a89d4c0feeb317c6cf8" ns2:_="" ns3:_="">
    <xsd:import namespace="fb13db88-1a75-4cb0-9923-f9d96091edce"/>
    <xsd:import namespace="404a6dcf-ea68-44c3-bc25-293bdc6513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3db88-1a75-4cb0-9923-f9d96091ed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df18765-1d45-4ceb-918e-821851d17794}" ma:internalName="TaxCatchAll" ma:showField="CatchAllData" ma:web="fb13db88-1a75-4cb0-9923-f9d96091e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a6dcf-ea68-44c3-bc25-293bdc651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cd87382-a490-48e3-8a48-f807998d4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4a6dcf-ea68-44c3-bc25-293bdc65133a">
      <Terms xmlns="http://schemas.microsoft.com/office/infopath/2007/PartnerControls"/>
    </lcf76f155ced4ddcb4097134ff3c332f>
    <TaxCatchAll xmlns="fb13db88-1a75-4cb0-9923-f9d96091edce" xsi:nil="true"/>
  </documentManagement>
</p:properties>
</file>

<file path=customXml/itemProps1.xml><?xml version="1.0" encoding="utf-8"?>
<ds:datastoreItem xmlns:ds="http://schemas.openxmlformats.org/officeDocument/2006/customXml" ds:itemID="{52F961F2-B91F-4BD8-A7E9-E570C15F43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C96536-DB10-4DC2-8EE3-6AF646DD0F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13db88-1a75-4cb0-9923-f9d96091edce"/>
    <ds:schemaRef ds:uri="404a6dcf-ea68-44c3-bc25-293bdc6513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C93EA8-E9D8-4D60-A11E-566BEC5AF499}">
  <ds:schemaRefs>
    <ds:schemaRef ds:uri="http://schemas.microsoft.com/office/2006/metadata/properties"/>
    <ds:schemaRef ds:uri="http://schemas.microsoft.com/office/infopath/2007/PartnerControls"/>
    <ds:schemaRef ds:uri="404a6dcf-ea68-44c3-bc25-293bdc65133a"/>
    <ds:schemaRef ds:uri="fb13db88-1a75-4cb0-9923-f9d96091ed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833</Words>
  <Characters>5302</Characters>
  <Application>Microsoft Office Word</Application>
  <DocSecurity>0</DocSecurity>
  <Lines>220</Lines>
  <Paragraphs>191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2026-03-03T11:55:00Z</dcterms:created>
  <dcterms:modified xsi:type="dcterms:W3CDTF">2026-03-03T14:30:00Z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0x010100EABC31DACF2C704D84F727256B35AEF6</vt:lpwstr>
  </property>
</Properties>
</file>