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Zenvora Code of Conduct</w:t>
      </w:r>
    </w:p>
    <w:p>
      <w:pPr>
        <w:pStyle w:val="Heading1"/>
      </w:pPr>
      <w:r>
        <w:t>Workplace Behaviour</w:t>
      </w:r>
    </w:p>
    <w:p>
      <w:r>
        <w:t>All employees must treat colleagues, clients and vendors with respect. Harassment, discrimination and bullying are strictly prohibited and may lead to termination of employment.</w:t>
      </w:r>
    </w:p>
    <w:p>
      <w:pPr>
        <w:pStyle w:val="Heading1"/>
      </w:pPr>
      <w:r>
        <w:t>Reporting Concerns</w:t>
      </w:r>
    </w:p>
    <w:p>
      <w:r>
        <w:t>Concerns about misconduct can be reported to the Ethics Committee at ethics@zenvora.example or through the anonymous helpline 1800-555-0142. Retaliation against anyone who reports in good faith is prohibited. The Ethics Committee acknowledges every report within 48 hours.</w:t>
      </w:r>
    </w:p>
    <w:p>
      <w:pPr>
        <w:pStyle w:val="Heading1"/>
      </w:pPr>
      <w:r>
        <w:t>Conflict of Interest</w:t>
      </w:r>
    </w:p>
    <w:p>
      <w:r>
        <w:t>Employees must disclose any financial interest in a vendor, competitor or client to HR. Gifts worth more than INR 2,000 must be declined or declared.</w:t>
      </w:r>
    </w:p>
    <w:p>
      <w:pPr>
        <w:pStyle w:val="Heading1"/>
      </w:pPr>
      <w:r>
        <w:t>Dress Code</w:t>
      </w:r>
    </w:p>
    <w:p>
      <w:r>
        <w:t>Business casual is the standard dress code on weekdays. Casual wear is allowed on Fridays. Employees meeting clients must wear formal attire.</w:t>
      </w:r>
    </w:p>
    <w:p>
      <w:pPr>
        <w:pStyle w:val="Heading1"/>
      </w:pPr>
      <w:r>
        <w:t>Company Property and Data</w:t>
      </w:r>
    </w:p>
    <w:p>
      <w:r>
        <w:t>Laptops, access cards and other company property remain the property of Zenvora. Loss, theft or misuse of company property, or any suspected data breach, must be reported to the Ethics Committee and the IT Security team without delay. Employees are accountable for damage caused by negligence.</w:t>
      </w:r>
    </w:p>
    <w:p>
      <w:pPr>
        <w:pStyle w:val="Heading1"/>
      </w:pPr>
      <w:r>
        <w:t>Confidentiality</w:t>
      </w:r>
    </w:p>
    <w:p>
      <w:r>
        <w:t>Client and company information must not be shared outside the organisation without written approval. This obligation continues after employment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